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C3" w:rsidRPr="00CE4142" w:rsidRDefault="006E6FC3" w:rsidP="006E6FC3">
      <w:pPr>
        <w:ind w:left="360"/>
        <w:rPr>
          <w:rFonts w:ascii="Times New Roman" w:hAnsi="Times New Roman"/>
          <w:b/>
          <w:bCs/>
          <w:iCs/>
          <w:sz w:val="24"/>
          <w:szCs w:val="24"/>
        </w:rPr>
      </w:pPr>
      <w:r w:rsidRPr="00CE4142">
        <w:rPr>
          <w:rFonts w:ascii="Times New Roman" w:hAnsi="Times New Roman"/>
          <w:b/>
          <w:bCs/>
          <w:iCs/>
          <w:sz w:val="24"/>
          <w:szCs w:val="24"/>
        </w:rPr>
        <w:t>The Vision</w:t>
      </w:r>
    </w:p>
    <w:p w:rsidR="006E6FC3" w:rsidRPr="00CE4142" w:rsidRDefault="006E6FC3" w:rsidP="006E6FC3">
      <w:pPr>
        <w:ind w:left="360"/>
        <w:rPr>
          <w:rFonts w:ascii="Times New Roman" w:hAnsi="Times New Roman"/>
          <w:b/>
          <w:bCs/>
          <w:i/>
          <w:iCs/>
        </w:rPr>
      </w:pPr>
    </w:p>
    <w:p w:rsidR="006E6FC3" w:rsidRPr="00CE4142" w:rsidRDefault="006E6FC3" w:rsidP="006E6FC3">
      <w:pPr>
        <w:ind w:left="360"/>
        <w:rPr>
          <w:rFonts w:ascii="Times New Roman" w:hAnsi="Times New Roman"/>
          <w:bCs/>
          <w:i/>
          <w:iCs/>
        </w:rPr>
      </w:pPr>
      <w:r w:rsidRPr="00CE4142">
        <w:rPr>
          <w:rFonts w:ascii="Times New Roman" w:hAnsi="Times New Roman"/>
          <w:bCs/>
          <w:i/>
          <w:iCs/>
        </w:rPr>
        <w:t xml:space="preserve">"If you want to build a ship, don't herd people together to collect wood and don't assign them tasks and work, but rather teach them a yearning for the immensity of the sea." --Antoine de Saint-Exupery </w:t>
      </w:r>
    </w:p>
    <w:p w:rsidR="006E6FC3" w:rsidRPr="00CE4142" w:rsidRDefault="006E6FC3" w:rsidP="006E6FC3">
      <w:pPr>
        <w:ind w:left="360"/>
        <w:rPr>
          <w:rFonts w:ascii="Times New Roman" w:hAnsi="Times New Roman"/>
          <w:b/>
          <w:bCs/>
          <w:i/>
          <w:iCs/>
        </w:rPr>
      </w:pPr>
    </w:p>
    <w:p w:rsidR="006E6FC3" w:rsidRPr="00CE4142" w:rsidRDefault="006E6FC3" w:rsidP="006E6FC3">
      <w:pPr>
        <w:ind w:left="360"/>
        <w:rPr>
          <w:rFonts w:ascii="Times New Roman" w:hAnsi="Times New Roman"/>
          <w:bCs/>
          <w:iCs/>
        </w:rPr>
      </w:pPr>
      <w:r w:rsidRPr="00CE4142">
        <w:rPr>
          <w:rFonts w:ascii="Times New Roman" w:hAnsi="Times New Roman"/>
          <w:bCs/>
          <w:iCs/>
        </w:rPr>
        <w:t xml:space="preserve">My vision for technology at </w:t>
      </w:r>
      <w:r>
        <w:rPr>
          <w:rFonts w:ascii="Times New Roman" w:hAnsi="Times New Roman"/>
          <w:bCs/>
          <w:iCs/>
        </w:rPr>
        <w:t>IFRC</w:t>
      </w:r>
      <w:r w:rsidRPr="00CE4142">
        <w:rPr>
          <w:rFonts w:ascii="Times New Roman" w:hAnsi="Times New Roman"/>
          <w:bCs/>
          <w:iCs/>
        </w:rPr>
        <w:t xml:space="preserve"> is simple and ambitious: </w:t>
      </w:r>
      <w:r>
        <w:rPr>
          <w:rFonts w:ascii="Times New Roman" w:hAnsi="Times New Roman"/>
          <w:bCs/>
          <w:i/>
          <w:iCs/>
        </w:rPr>
        <w:t>O</w:t>
      </w:r>
      <w:r w:rsidRPr="00CE4142">
        <w:rPr>
          <w:rFonts w:ascii="Times New Roman" w:hAnsi="Times New Roman"/>
          <w:bCs/>
          <w:i/>
          <w:iCs/>
        </w:rPr>
        <w:t xml:space="preserve">ne </w:t>
      </w:r>
      <w:r>
        <w:rPr>
          <w:rFonts w:ascii="Times New Roman" w:hAnsi="Times New Roman"/>
          <w:bCs/>
          <w:i/>
          <w:iCs/>
        </w:rPr>
        <w:t>V</w:t>
      </w:r>
      <w:r w:rsidRPr="00CE4142">
        <w:rPr>
          <w:rFonts w:ascii="Times New Roman" w:hAnsi="Times New Roman"/>
          <w:bCs/>
          <w:i/>
          <w:iCs/>
        </w:rPr>
        <w:t>illage.</w:t>
      </w:r>
      <w:r w:rsidRPr="00CE4142">
        <w:rPr>
          <w:rFonts w:ascii="Times New Roman" w:hAnsi="Times New Roman"/>
          <w:bCs/>
          <w:iCs/>
        </w:rPr>
        <w:t xml:space="preserve">  In a village, location does not matter for the conversations and the work to take place.  </w:t>
      </w:r>
      <w:r>
        <w:rPr>
          <w:rFonts w:ascii="Times New Roman" w:hAnsi="Times New Roman"/>
          <w:bCs/>
          <w:iCs/>
        </w:rPr>
        <w:t>Individuals and families are respected, and yet e</w:t>
      </w:r>
      <w:r w:rsidRPr="00CE4142">
        <w:rPr>
          <w:rFonts w:ascii="Times New Roman" w:hAnsi="Times New Roman"/>
          <w:bCs/>
          <w:iCs/>
        </w:rPr>
        <w:t xml:space="preserve">veryone participates in understanding problems, collaborates on reaching and funding solutions, and celebrates the measurable impact that is realized, all in a transparent way.  </w:t>
      </w:r>
    </w:p>
    <w:p w:rsidR="006E6FC3" w:rsidRPr="00CE4142" w:rsidRDefault="006E6FC3" w:rsidP="006E6FC3">
      <w:pPr>
        <w:ind w:left="360"/>
        <w:rPr>
          <w:rFonts w:ascii="Times New Roman" w:hAnsi="Times New Roman"/>
          <w:bCs/>
          <w:iCs/>
        </w:rPr>
      </w:pPr>
    </w:p>
    <w:p w:rsidR="006E6FC3" w:rsidRPr="00CE4142" w:rsidRDefault="006E6FC3" w:rsidP="006E6FC3">
      <w:pPr>
        <w:ind w:left="360"/>
        <w:rPr>
          <w:rFonts w:ascii="Times New Roman" w:hAnsi="Times New Roman"/>
          <w:bCs/>
          <w:iCs/>
        </w:rPr>
      </w:pPr>
      <w:r w:rsidRPr="00CE4142">
        <w:rPr>
          <w:rFonts w:ascii="Times New Roman" w:hAnsi="Times New Roman"/>
          <w:bCs/>
          <w:iCs/>
        </w:rPr>
        <w:t xml:space="preserve">A story may illustrate this: </w:t>
      </w:r>
    </w:p>
    <w:p w:rsidR="006E6FC3" w:rsidRPr="00CE4142" w:rsidRDefault="006E6FC3" w:rsidP="006E6FC3">
      <w:pPr>
        <w:ind w:left="360"/>
        <w:rPr>
          <w:rFonts w:ascii="Times New Roman" w:hAnsi="Times New Roman"/>
          <w:bCs/>
          <w:iCs/>
        </w:rPr>
      </w:pPr>
    </w:p>
    <w:p w:rsidR="006E6FC3" w:rsidRPr="00CE4142" w:rsidRDefault="006E6FC3" w:rsidP="006E6FC3">
      <w:pPr>
        <w:ind w:left="360"/>
        <w:rPr>
          <w:rFonts w:ascii="Times New Roman" w:hAnsi="Times New Roman"/>
          <w:bCs/>
          <w:i/>
          <w:iCs/>
        </w:rPr>
      </w:pPr>
      <w:r w:rsidRPr="00CE4142">
        <w:rPr>
          <w:rFonts w:ascii="Times New Roman" w:hAnsi="Times New Roman"/>
          <w:bCs/>
          <w:i/>
          <w:iCs/>
        </w:rPr>
        <w:t>“The student embraced her cello, bow raised, eyes fixed on a sheet of music, attentive to the teacher’s words. The teacher held his own cello, but with bow lowered. The object of their attention: a difficult Bach suite from the “Anna Magdalena” manuscripts. At the teacher’s prompting, the student played two passages, from different parts of the suite. As she completed the second, a startled look crossed her face. The teacher noted her change of expression.</w:t>
      </w:r>
    </w:p>
    <w:p w:rsidR="006E6FC3" w:rsidRPr="00CE4142" w:rsidRDefault="006E6FC3" w:rsidP="006E6FC3">
      <w:pPr>
        <w:ind w:left="360"/>
        <w:rPr>
          <w:rFonts w:ascii="Times New Roman" w:hAnsi="Times New Roman"/>
          <w:bCs/>
          <w:i/>
          <w:iCs/>
        </w:rPr>
      </w:pPr>
      <w:r w:rsidRPr="00CE4142">
        <w:rPr>
          <w:rFonts w:ascii="Times New Roman" w:hAnsi="Times New Roman"/>
          <w:bCs/>
          <w:i/>
          <w:iCs/>
        </w:rPr>
        <w:t>‘Yes,’ said the teacher, “they have a parallel structure.”</w:t>
      </w:r>
    </w:p>
    <w:p w:rsidR="006E6FC3" w:rsidRPr="00CE4142" w:rsidRDefault="006E6FC3" w:rsidP="006E6FC3">
      <w:pPr>
        <w:ind w:left="360"/>
        <w:rPr>
          <w:rFonts w:ascii="Times New Roman" w:hAnsi="Times New Roman"/>
          <w:bCs/>
          <w:i/>
          <w:iCs/>
        </w:rPr>
      </w:pPr>
      <w:r w:rsidRPr="00CE4142">
        <w:rPr>
          <w:rFonts w:ascii="Times New Roman" w:hAnsi="Times New Roman"/>
          <w:bCs/>
          <w:i/>
          <w:iCs/>
        </w:rPr>
        <w:t>The student nodded, excited.</w:t>
      </w:r>
    </w:p>
    <w:p w:rsidR="006E6FC3" w:rsidRPr="00CE4142" w:rsidRDefault="006E6FC3" w:rsidP="006E6FC3">
      <w:pPr>
        <w:ind w:left="360"/>
        <w:rPr>
          <w:rFonts w:ascii="Times New Roman" w:hAnsi="Times New Roman"/>
          <w:bCs/>
          <w:i/>
          <w:iCs/>
        </w:rPr>
      </w:pPr>
      <w:r w:rsidRPr="00CE4142">
        <w:rPr>
          <w:rFonts w:ascii="Times New Roman" w:hAnsi="Times New Roman"/>
          <w:bCs/>
          <w:i/>
          <w:iCs/>
        </w:rPr>
        <w:t>‘Have you notice that before?”</w:t>
      </w:r>
    </w:p>
    <w:p w:rsidR="006E6FC3" w:rsidRPr="00CE4142" w:rsidRDefault="006E6FC3" w:rsidP="006E6FC3">
      <w:pPr>
        <w:ind w:left="360"/>
        <w:rPr>
          <w:rFonts w:ascii="Times New Roman" w:hAnsi="Times New Roman"/>
          <w:bCs/>
          <w:i/>
          <w:iCs/>
        </w:rPr>
      </w:pPr>
      <w:r w:rsidRPr="00CE4142">
        <w:rPr>
          <w:rFonts w:ascii="Times New Roman" w:hAnsi="Times New Roman"/>
          <w:bCs/>
          <w:i/>
          <w:iCs/>
        </w:rPr>
        <w:t>“No. It’s… important… I see that.”</w:t>
      </w:r>
    </w:p>
    <w:p w:rsidR="006E6FC3" w:rsidRPr="00CE4142" w:rsidRDefault="006E6FC3" w:rsidP="006E6FC3">
      <w:pPr>
        <w:ind w:left="360"/>
        <w:rPr>
          <w:rFonts w:ascii="Times New Roman" w:hAnsi="Times New Roman"/>
          <w:bCs/>
          <w:i/>
          <w:iCs/>
        </w:rPr>
      </w:pPr>
      <w:r w:rsidRPr="00CE4142">
        <w:rPr>
          <w:rFonts w:ascii="Times New Roman" w:hAnsi="Times New Roman"/>
          <w:bCs/>
          <w:i/>
          <w:iCs/>
        </w:rPr>
        <w:t>The teacher smiled. The student played again. Moments later, she mused: ‘It’s good. It’s very …’</w:t>
      </w:r>
    </w:p>
    <w:p w:rsidR="006E6FC3" w:rsidRPr="00CE4142" w:rsidRDefault="006E6FC3" w:rsidP="006E6FC3">
      <w:pPr>
        <w:ind w:left="360"/>
        <w:rPr>
          <w:rFonts w:ascii="Times New Roman" w:hAnsi="Times New Roman"/>
          <w:bCs/>
          <w:i/>
          <w:iCs/>
        </w:rPr>
      </w:pPr>
      <w:r w:rsidRPr="00CE4142">
        <w:rPr>
          <w:rFonts w:ascii="Times New Roman" w:hAnsi="Times New Roman"/>
          <w:bCs/>
          <w:i/>
          <w:iCs/>
        </w:rPr>
        <w:t>‘Yes,’ the teacher agreed, ‘that Bach—he’s a pretty good composer…’ The student erupted in laughter. The teacher joined in. A moment later, the lesson continued.”</w:t>
      </w:r>
      <w:r w:rsidRPr="00CE4142">
        <w:rPr>
          <w:rStyle w:val="FootnoteReference"/>
          <w:rFonts w:ascii="Times New Roman" w:hAnsi="Times New Roman"/>
          <w:bCs/>
          <w:iCs/>
        </w:rPr>
        <w:footnoteReference w:id="1"/>
      </w:r>
    </w:p>
    <w:p w:rsidR="006E6FC3" w:rsidRPr="00CE4142" w:rsidRDefault="006E6FC3" w:rsidP="006E6FC3">
      <w:pPr>
        <w:ind w:left="360"/>
        <w:rPr>
          <w:rFonts w:ascii="Times New Roman" w:hAnsi="Times New Roman"/>
          <w:bCs/>
          <w:iCs/>
        </w:rPr>
      </w:pPr>
    </w:p>
    <w:p w:rsidR="006E6FC3" w:rsidRPr="00CE4142" w:rsidRDefault="006E6FC3" w:rsidP="006E6FC3">
      <w:pPr>
        <w:ind w:left="360"/>
        <w:rPr>
          <w:rFonts w:ascii="Times New Roman" w:hAnsi="Times New Roman"/>
          <w:bCs/>
          <w:iCs/>
        </w:rPr>
      </w:pPr>
      <w:r w:rsidRPr="00CE4142">
        <w:rPr>
          <w:rFonts w:ascii="Times New Roman" w:hAnsi="Times New Roman"/>
          <w:bCs/>
          <w:iCs/>
        </w:rPr>
        <w:t xml:space="preserve">The interesting thing about this story is that the lesson took place with the student at Harvard in </w:t>
      </w:r>
      <w:smartTag w:uri="urn:schemas-microsoft-com:office:smarttags" w:element="City">
        <w:r w:rsidRPr="00CE4142">
          <w:rPr>
            <w:rFonts w:ascii="Times New Roman" w:hAnsi="Times New Roman"/>
            <w:bCs/>
            <w:iCs/>
          </w:rPr>
          <w:t>Cambridge</w:t>
        </w:r>
      </w:smartTag>
      <w:r w:rsidRPr="00CE4142">
        <w:rPr>
          <w:rFonts w:ascii="Times New Roman" w:hAnsi="Times New Roman"/>
          <w:bCs/>
          <w:iCs/>
        </w:rPr>
        <w:t xml:space="preserve">, </w:t>
      </w:r>
      <w:smartTag w:uri="urn:schemas-microsoft-com:office:smarttags" w:element="State">
        <w:r w:rsidRPr="00CE4142">
          <w:rPr>
            <w:rFonts w:ascii="Times New Roman" w:hAnsi="Times New Roman"/>
            <w:bCs/>
            <w:iCs/>
          </w:rPr>
          <w:t>MA</w:t>
        </w:r>
      </w:smartTag>
      <w:r w:rsidRPr="00CE4142">
        <w:rPr>
          <w:rFonts w:ascii="Times New Roman" w:hAnsi="Times New Roman"/>
          <w:bCs/>
          <w:iCs/>
        </w:rPr>
        <w:t xml:space="preserve">… and the concert master in </w:t>
      </w:r>
      <w:smartTag w:uri="urn:schemas-microsoft-com:office:smarttags" w:element="place">
        <w:smartTag w:uri="urn:schemas-microsoft-com:office:smarttags" w:element="City">
          <w:r w:rsidRPr="00CE4142">
            <w:rPr>
              <w:rFonts w:ascii="Times New Roman" w:hAnsi="Times New Roman"/>
              <w:bCs/>
              <w:iCs/>
            </w:rPr>
            <w:t>Miami</w:t>
          </w:r>
        </w:smartTag>
        <w:r w:rsidRPr="00CE4142">
          <w:rPr>
            <w:rFonts w:ascii="Times New Roman" w:hAnsi="Times New Roman"/>
            <w:bCs/>
            <w:iCs/>
          </w:rPr>
          <w:t xml:space="preserve">, </w:t>
        </w:r>
        <w:smartTag w:uri="urn:schemas-microsoft-com:office:smarttags" w:element="State">
          <w:r w:rsidRPr="00CE4142">
            <w:rPr>
              <w:rFonts w:ascii="Times New Roman" w:hAnsi="Times New Roman"/>
              <w:bCs/>
              <w:iCs/>
            </w:rPr>
            <w:t>FL.</w:t>
          </w:r>
        </w:smartTag>
      </w:smartTag>
      <w:r w:rsidRPr="00CE4142">
        <w:rPr>
          <w:rFonts w:ascii="Times New Roman" w:hAnsi="Times New Roman"/>
          <w:bCs/>
          <w:iCs/>
        </w:rPr>
        <w:t xml:space="preserve">  A high-speed, high-definition and high-fidelity Internet2 network provided the connection so that the “resulting qualitative experience was rich enough to convey subtle meaning.”</w:t>
      </w:r>
      <w:r w:rsidRPr="00CE4142">
        <w:rPr>
          <w:rStyle w:val="FootnoteReference"/>
          <w:rFonts w:ascii="Times New Roman" w:hAnsi="Times New Roman"/>
          <w:bCs/>
          <w:iCs/>
        </w:rPr>
        <w:footnoteReference w:id="2"/>
      </w:r>
      <w:r w:rsidRPr="00CE4142">
        <w:rPr>
          <w:rFonts w:ascii="Times New Roman" w:hAnsi="Times New Roman"/>
          <w:bCs/>
          <w:iCs/>
        </w:rPr>
        <w:t xml:space="preserve"> Imagine if this was </w:t>
      </w:r>
      <w:r>
        <w:rPr>
          <w:rFonts w:ascii="Times New Roman" w:hAnsi="Times New Roman"/>
          <w:bCs/>
          <w:iCs/>
        </w:rPr>
        <w:t xml:space="preserve">member team </w:t>
      </w:r>
      <w:r w:rsidRPr="00CE4142">
        <w:rPr>
          <w:rFonts w:ascii="Times New Roman" w:hAnsi="Times New Roman"/>
          <w:bCs/>
          <w:iCs/>
        </w:rPr>
        <w:t xml:space="preserve">in </w:t>
      </w:r>
      <w:r>
        <w:rPr>
          <w:rFonts w:ascii="Times New Roman" w:hAnsi="Times New Roman"/>
          <w:bCs/>
          <w:iCs/>
        </w:rPr>
        <w:t>Reykjavik</w:t>
      </w:r>
      <w:r w:rsidRPr="00CE4142">
        <w:rPr>
          <w:rFonts w:ascii="Times New Roman" w:hAnsi="Times New Roman"/>
          <w:bCs/>
          <w:iCs/>
        </w:rPr>
        <w:t xml:space="preserve"> speaking with a community leader in </w:t>
      </w:r>
      <w:r>
        <w:rPr>
          <w:rFonts w:ascii="Times New Roman" w:hAnsi="Times New Roman"/>
          <w:bCs/>
          <w:iCs/>
        </w:rPr>
        <w:t>Port au Prince</w:t>
      </w:r>
      <w:r w:rsidRPr="00CE4142">
        <w:rPr>
          <w:rFonts w:ascii="Times New Roman" w:hAnsi="Times New Roman"/>
          <w:bCs/>
          <w:iCs/>
        </w:rPr>
        <w:t>? How rich could the conversation be?</w:t>
      </w:r>
    </w:p>
    <w:p w:rsidR="006E6FC3" w:rsidRPr="00CE4142" w:rsidRDefault="006E6FC3" w:rsidP="006E6FC3">
      <w:pPr>
        <w:ind w:left="360"/>
        <w:rPr>
          <w:rFonts w:ascii="Times New Roman" w:hAnsi="Times New Roman"/>
          <w:bCs/>
          <w:iCs/>
        </w:rPr>
      </w:pPr>
    </w:p>
    <w:p w:rsidR="006E6FC3" w:rsidRPr="00CE4142" w:rsidRDefault="006E6FC3" w:rsidP="006E6FC3">
      <w:pPr>
        <w:ind w:left="360"/>
        <w:rPr>
          <w:rFonts w:ascii="Times New Roman" w:hAnsi="Times New Roman"/>
          <w:bCs/>
          <w:iCs/>
        </w:rPr>
      </w:pPr>
      <w:r w:rsidRPr="00CE4142">
        <w:rPr>
          <w:rFonts w:ascii="Times New Roman" w:hAnsi="Times New Roman"/>
          <w:bCs/>
          <w:iCs/>
        </w:rPr>
        <w:t>Some new conversations we could be having:</w:t>
      </w:r>
    </w:p>
    <w:p w:rsidR="006E6FC3" w:rsidRPr="00CE4142" w:rsidRDefault="006E6FC3" w:rsidP="006E6FC3">
      <w:pPr>
        <w:ind w:left="360"/>
        <w:rPr>
          <w:rFonts w:ascii="Times New Roman" w:hAnsi="Times New Roman"/>
          <w:bCs/>
          <w:iCs/>
        </w:rPr>
      </w:pPr>
    </w:p>
    <w:p w:rsidR="006E6FC3" w:rsidRPr="00CE4142" w:rsidRDefault="006E6FC3" w:rsidP="006E6FC3">
      <w:pPr>
        <w:numPr>
          <w:ilvl w:val="0"/>
          <w:numId w:val="1"/>
        </w:numPr>
        <w:rPr>
          <w:rFonts w:ascii="Times New Roman" w:hAnsi="Times New Roman"/>
          <w:bCs/>
          <w:iCs/>
        </w:rPr>
      </w:pPr>
      <w:r w:rsidRPr="00CE4142">
        <w:rPr>
          <w:rFonts w:ascii="Times New Roman" w:hAnsi="Times New Roman"/>
          <w:bCs/>
          <w:iCs/>
        </w:rPr>
        <w:t xml:space="preserve">The televised speech – </w:t>
      </w:r>
      <w:r>
        <w:rPr>
          <w:rFonts w:ascii="Times New Roman" w:hAnsi="Times New Roman"/>
          <w:bCs/>
          <w:iCs/>
        </w:rPr>
        <w:t>Bekele</w:t>
      </w:r>
      <w:r w:rsidRPr="00CE4142">
        <w:rPr>
          <w:rFonts w:ascii="Times New Roman" w:hAnsi="Times New Roman"/>
          <w:bCs/>
          <w:iCs/>
        </w:rPr>
        <w:t xml:space="preserve"> address</w:t>
      </w:r>
      <w:r>
        <w:rPr>
          <w:rFonts w:ascii="Times New Roman" w:hAnsi="Times New Roman"/>
          <w:bCs/>
          <w:iCs/>
        </w:rPr>
        <w:t>es</w:t>
      </w:r>
      <w:r w:rsidRPr="00CE4142">
        <w:rPr>
          <w:rFonts w:ascii="Times New Roman" w:hAnsi="Times New Roman"/>
          <w:bCs/>
          <w:iCs/>
        </w:rPr>
        <w:t xml:space="preserve"> the whole organization.  This is </w:t>
      </w:r>
      <w:r>
        <w:rPr>
          <w:rFonts w:ascii="Times New Roman" w:hAnsi="Times New Roman"/>
          <w:bCs/>
          <w:iCs/>
        </w:rPr>
        <w:t>a</w:t>
      </w:r>
      <w:r w:rsidRPr="00CE4142">
        <w:rPr>
          <w:rFonts w:ascii="Times New Roman" w:hAnsi="Times New Roman"/>
          <w:bCs/>
          <w:iCs/>
        </w:rPr>
        <w:t xml:space="preserve"> one-to-many conversation.  It can happen in r</w:t>
      </w:r>
      <w:r>
        <w:rPr>
          <w:rFonts w:ascii="Times New Roman" w:hAnsi="Times New Roman"/>
          <w:bCs/>
          <w:iCs/>
        </w:rPr>
        <w:t xml:space="preserve">eal-time on cell phones and video conferencing, and can be downloaded as podcasts the next day. </w:t>
      </w:r>
    </w:p>
    <w:p w:rsidR="006E6FC3" w:rsidRPr="00CE4142" w:rsidRDefault="006E6FC3" w:rsidP="006E6FC3">
      <w:pPr>
        <w:numPr>
          <w:ilvl w:val="0"/>
          <w:numId w:val="1"/>
        </w:numPr>
        <w:rPr>
          <w:rFonts w:ascii="Times New Roman" w:hAnsi="Times New Roman"/>
          <w:bCs/>
          <w:iCs/>
        </w:rPr>
      </w:pPr>
      <w:r w:rsidRPr="00CE4142">
        <w:rPr>
          <w:rFonts w:ascii="Times New Roman" w:hAnsi="Times New Roman"/>
          <w:bCs/>
          <w:iCs/>
        </w:rPr>
        <w:t xml:space="preserve">The </w:t>
      </w:r>
      <w:r>
        <w:rPr>
          <w:rFonts w:ascii="Times New Roman" w:hAnsi="Times New Roman"/>
          <w:bCs/>
          <w:iCs/>
        </w:rPr>
        <w:t xml:space="preserve">community preparedness group </w:t>
      </w:r>
      <w:r w:rsidRPr="00CE4142">
        <w:rPr>
          <w:rFonts w:ascii="Times New Roman" w:hAnsi="Times New Roman"/>
          <w:bCs/>
          <w:iCs/>
        </w:rPr>
        <w:t>in Manila make</w:t>
      </w:r>
      <w:r>
        <w:rPr>
          <w:rFonts w:ascii="Times New Roman" w:hAnsi="Times New Roman"/>
          <w:bCs/>
          <w:iCs/>
        </w:rPr>
        <w:t>s</w:t>
      </w:r>
      <w:r w:rsidRPr="00CE4142">
        <w:rPr>
          <w:rFonts w:ascii="Times New Roman" w:hAnsi="Times New Roman"/>
          <w:bCs/>
          <w:iCs/>
        </w:rPr>
        <w:t xml:space="preserve"> a presentation on their new </w:t>
      </w:r>
      <w:r>
        <w:rPr>
          <w:rFonts w:ascii="Times New Roman" w:hAnsi="Times New Roman"/>
          <w:bCs/>
          <w:iCs/>
        </w:rPr>
        <w:t>plan</w:t>
      </w:r>
      <w:r w:rsidRPr="00CE4142">
        <w:rPr>
          <w:rFonts w:ascii="Times New Roman" w:hAnsi="Times New Roman"/>
          <w:bCs/>
          <w:iCs/>
        </w:rPr>
        <w:t xml:space="preserve"> to an audience of </w:t>
      </w:r>
      <w:r>
        <w:rPr>
          <w:rFonts w:ascii="Times New Roman" w:hAnsi="Times New Roman"/>
          <w:bCs/>
          <w:iCs/>
        </w:rPr>
        <w:t xml:space="preserve">program managers in the </w:t>
      </w:r>
      <w:r w:rsidRPr="00CE4142">
        <w:rPr>
          <w:rFonts w:ascii="Times New Roman" w:hAnsi="Times New Roman"/>
          <w:bCs/>
          <w:iCs/>
        </w:rPr>
        <w:t>US</w:t>
      </w:r>
      <w:r>
        <w:rPr>
          <w:rFonts w:ascii="Times New Roman" w:hAnsi="Times New Roman"/>
          <w:bCs/>
          <w:iCs/>
        </w:rPr>
        <w:t xml:space="preserve">, </w:t>
      </w:r>
      <w:r w:rsidRPr="00CE4142">
        <w:rPr>
          <w:rFonts w:ascii="Times New Roman" w:hAnsi="Times New Roman"/>
          <w:bCs/>
          <w:iCs/>
        </w:rPr>
        <w:t>UK</w:t>
      </w:r>
      <w:r>
        <w:rPr>
          <w:rFonts w:ascii="Times New Roman" w:hAnsi="Times New Roman"/>
          <w:bCs/>
          <w:iCs/>
        </w:rPr>
        <w:t xml:space="preserve"> and Geneva</w:t>
      </w:r>
      <w:r w:rsidRPr="00CE4142">
        <w:rPr>
          <w:rFonts w:ascii="Times New Roman" w:hAnsi="Times New Roman"/>
          <w:bCs/>
          <w:iCs/>
        </w:rPr>
        <w:t>.  This is the many-to-many conversation</w:t>
      </w:r>
    </w:p>
    <w:p w:rsidR="006E6FC3" w:rsidRPr="00CE4142" w:rsidRDefault="006E6FC3" w:rsidP="006E6FC3">
      <w:pPr>
        <w:numPr>
          <w:ilvl w:val="0"/>
          <w:numId w:val="1"/>
        </w:numPr>
        <w:rPr>
          <w:rFonts w:ascii="Times New Roman" w:hAnsi="Times New Roman"/>
          <w:bCs/>
          <w:iCs/>
        </w:rPr>
      </w:pPr>
      <w:r w:rsidRPr="00CE4142">
        <w:rPr>
          <w:rFonts w:ascii="Times New Roman" w:hAnsi="Times New Roman"/>
          <w:bCs/>
          <w:iCs/>
        </w:rPr>
        <w:t>A donor posts their video of one of our programs on YouTube for the world (and us).  This is the one-to-many in reverse</w:t>
      </w:r>
    </w:p>
    <w:p w:rsidR="006E6FC3" w:rsidRPr="00CE4142" w:rsidRDefault="006E6FC3" w:rsidP="006E6FC3">
      <w:pPr>
        <w:numPr>
          <w:ilvl w:val="0"/>
          <w:numId w:val="1"/>
        </w:numPr>
        <w:rPr>
          <w:rFonts w:ascii="Times New Roman" w:hAnsi="Times New Roman"/>
          <w:bCs/>
          <w:iCs/>
        </w:rPr>
      </w:pPr>
      <w:r w:rsidRPr="00CE4142">
        <w:rPr>
          <w:rFonts w:ascii="Times New Roman" w:hAnsi="Times New Roman"/>
          <w:bCs/>
          <w:iCs/>
        </w:rPr>
        <w:t xml:space="preserve">A </w:t>
      </w:r>
      <w:r>
        <w:rPr>
          <w:rFonts w:ascii="Times New Roman" w:hAnsi="Times New Roman"/>
          <w:bCs/>
          <w:iCs/>
        </w:rPr>
        <w:t xml:space="preserve">BRC public health </w:t>
      </w:r>
      <w:r w:rsidRPr="00CE4142">
        <w:rPr>
          <w:rFonts w:ascii="Times New Roman" w:hAnsi="Times New Roman"/>
          <w:bCs/>
          <w:iCs/>
        </w:rPr>
        <w:t xml:space="preserve">expert in Mali finds a </w:t>
      </w:r>
      <w:r>
        <w:rPr>
          <w:rFonts w:ascii="Times New Roman" w:hAnsi="Times New Roman"/>
          <w:bCs/>
          <w:iCs/>
        </w:rPr>
        <w:t xml:space="preserve">health worker </w:t>
      </w:r>
      <w:r w:rsidRPr="00CE4142">
        <w:rPr>
          <w:rFonts w:ascii="Times New Roman" w:hAnsi="Times New Roman"/>
          <w:bCs/>
          <w:iCs/>
        </w:rPr>
        <w:t xml:space="preserve">in Guatemala and they have a video conversation via SKYPE about a new program that’s had increased impact in Guatemala.  This is one-to-one conversation using a pragmatic form of knowledge management: find the expert (and </w:t>
      </w:r>
      <w:r>
        <w:rPr>
          <w:rFonts w:ascii="Times New Roman" w:hAnsi="Times New Roman"/>
          <w:bCs/>
          <w:iCs/>
        </w:rPr>
        <w:t>discover</w:t>
      </w:r>
      <w:r w:rsidRPr="00CE4142">
        <w:rPr>
          <w:rFonts w:ascii="Times New Roman" w:hAnsi="Times New Roman"/>
          <w:bCs/>
          <w:iCs/>
        </w:rPr>
        <w:t xml:space="preserve"> the program success where it occurs)</w:t>
      </w:r>
    </w:p>
    <w:p w:rsidR="006E6FC3" w:rsidRPr="00CE4142" w:rsidRDefault="006E6FC3" w:rsidP="006E6FC3">
      <w:pPr>
        <w:numPr>
          <w:ilvl w:val="0"/>
          <w:numId w:val="1"/>
        </w:numPr>
        <w:rPr>
          <w:rFonts w:ascii="Times New Roman" w:hAnsi="Times New Roman"/>
          <w:bCs/>
          <w:iCs/>
        </w:rPr>
      </w:pPr>
      <w:r w:rsidRPr="00CE4142">
        <w:rPr>
          <w:rFonts w:ascii="Times New Roman" w:hAnsi="Times New Roman"/>
          <w:bCs/>
          <w:iCs/>
        </w:rPr>
        <w:lastRenderedPageBreak/>
        <w:t xml:space="preserve">A </w:t>
      </w:r>
      <w:r>
        <w:rPr>
          <w:rFonts w:ascii="Times New Roman" w:hAnsi="Times New Roman"/>
          <w:bCs/>
          <w:iCs/>
        </w:rPr>
        <w:t>disaster preparedness</w:t>
      </w:r>
      <w:r w:rsidRPr="00CE4142">
        <w:rPr>
          <w:rFonts w:ascii="Times New Roman" w:hAnsi="Times New Roman"/>
          <w:bCs/>
          <w:iCs/>
        </w:rPr>
        <w:t xml:space="preserve"> training session takes place around a cell phone.  The group watches a video clip on the phone in their local language.</w:t>
      </w:r>
    </w:p>
    <w:p w:rsidR="006E6FC3" w:rsidRPr="00CE4142" w:rsidRDefault="006E6FC3" w:rsidP="006E6FC3">
      <w:pPr>
        <w:numPr>
          <w:ilvl w:val="0"/>
          <w:numId w:val="1"/>
        </w:numPr>
        <w:rPr>
          <w:rFonts w:ascii="Times New Roman" w:hAnsi="Times New Roman"/>
          <w:bCs/>
          <w:iCs/>
        </w:rPr>
      </w:pPr>
      <w:r w:rsidRPr="00CE4142">
        <w:rPr>
          <w:rFonts w:ascii="Times New Roman" w:hAnsi="Times New Roman"/>
          <w:bCs/>
          <w:iCs/>
        </w:rPr>
        <w:t xml:space="preserve">A country director needs to have a meeting with a technical group in </w:t>
      </w:r>
      <w:r>
        <w:rPr>
          <w:rFonts w:ascii="Times New Roman" w:hAnsi="Times New Roman"/>
          <w:bCs/>
          <w:iCs/>
        </w:rPr>
        <w:t>Geneva.</w:t>
      </w:r>
      <w:r w:rsidRPr="00CE4142">
        <w:rPr>
          <w:rFonts w:ascii="Times New Roman" w:hAnsi="Times New Roman"/>
          <w:bCs/>
          <w:iCs/>
        </w:rPr>
        <w:t xml:space="preserve">  She picks up an Internet phone and dials the four digit extension of the manager who puts h</w:t>
      </w:r>
      <w:r>
        <w:rPr>
          <w:rFonts w:ascii="Times New Roman" w:hAnsi="Times New Roman"/>
          <w:bCs/>
          <w:iCs/>
        </w:rPr>
        <w:t>er</w:t>
      </w:r>
      <w:r w:rsidRPr="00CE4142">
        <w:rPr>
          <w:rFonts w:ascii="Times New Roman" w:hAnsi="Times New Roman"/>
          <w:bCs/>
          <w:iCs/>
        </w:rPr>
        <w:t xml:space="preserve"> on a speaker phone with his team.  </w:t>
      </w:r>
    </w:p>
    <w:p w:rsidR="006E6FC3" w:rsidRPr="00CE4142" w:rsidRDefault="006E6FC3" w:rsidP="006E6FC3">
      <w:pPr>
        <w:ind w:left="360"/>
        <w:rPr>
          <w:rFonts w:ascii="Times New Roman" w:hAnsi="Times New Roman"/>
          <w:bCs/>
          <w:iCs/>
          <w:szCs w:val="22"/>
        </w:rPr>
      </w:pPr>
    </w:p>
    <w:p w:rsidR="006E6FC3" w:rsidRPr="00CE4142" w:rsidRDefault="006E6FC3" w:rsidP="006E6FC3">
      <w:pPr>
        <w:rPr>
          <w:rFonts w:ascii="Times New Roman" w:hAnsi="Times New Roman"/>
          <w:szCs w:val="22"/>
        </w:rPr>
      </w:pPr>
      <w:r w:rsidRPr="00CE4142">
        <w:rPr>
          <w:rFonts w:ascii="Times New Roman" w:hAnsi="Times New Roman"/>
          <w:szCs w:val="22"/>
        </w:rPr>
        <w:t xml:space="preserve">These are half a dozen conversations that we can and should be having at </w:t>
      </w:r>
      <w:r>
        <w:rPr>
          <w:rFonts w:ascii="Times New Roman" w:hAnsi="Times New Roman"/>
          <w:szCs w:val="22"/>
        </w:rPr>
        <w:t>IFRC</w:t>
      </w:r>
      <w:r w:rsidRPr="00CE4142">
        <w:rPr>
          <w:rFonts w:ascii="Times New Roman" w:hAnsi="Times New Roman"/>
          <w:szCs w:val="22"/>
        </w:rPr>
        <w:t xml:space="preserve"> and in our broader community of stakeholders.  We can imagine this; we need start by asking </w:t>
      </w:r>
      <w:r w:rsidRPr="00CE4142">
        <w:rPr>
          <w:rFonts w:ascii="Times New Roman" w:hAnsi="Times New Roman"/>
          <w:i/>
          <w:szCs w:val="22"/>
        </w:rPr>
        <w:t>what if…?</w:t>
      </w:r>
      <w:r w:rsidRPr="00CE4142">
        <w:rPr>
          <w:rFonts w:ascii="Times New Roman" w:hAnsi="Times New Roman"/>
          <w:szCs w:val="22"/>
        </w:rPr>
        <w:t xml:space="preserve">  When we have this vision in mind about what is possible, then we can begin to talk about what we need to build, borrow and partner to make it a reality.  Our technology strategy is driven by no less.</w:t>
      </w:r>
    </w:p>
    <w:p w:rsidR="006E6FC3" w:rsidRPr="00CE4142" w:rsidRDefault="006E6FC3" w:rsidP="006E6FC3">
      <w:pPr>
        <w:rPr>
          <w:rFonts w:ascii="Times New Roman" w:hAnsi="Times New Roman"/>
          <w:szCs w:val="22"/>
        </w:rPr>
      </w:pPr>
    </w:p>
    <w:p w:rsidR="006E6FC3" w:rsidRPr="00CE4142" w:rsidRDefault="006E6FC3" w:rsidP="006E6FC3">
      <w:pPr>
        <w:rPr>
          <w:rFonts w:ascii="Times New Roman" w:hAnsi="Times New Roman"/>
          <w:szCs w:val="22"/>
        </w:rPr>
      </w:pPr>
    </w:p>
    <w:p w:rsidR="006E6FC3" w:rsidRPr="00CE4142" w:rsidRDefault="006E6FC3" w:rsidP="006E6FC3">
      <w:pPr>
        <w:rPr>
          <w:rFonts w:ascii="Times New Roman" w:hAnsi="Times New Roman"/>
          <w:b/>
          <w:sz w:val="24"/>
          <w:szCs w:val="24"/>
        </w:rPr>
      </w:pPr>
      <w:r w:rsidRPr="00CE4142">
        <w:rPr>
          <w:rFonts w:ascii="Times New Roman" w:hAnsi="Times New Roman"/>
          <w:b/>
          <w:sz w:val="24"/>
          <w:szCs w:val="24"/>
        </w:rPr>
        <w:t>The IT Strategy Pyramid</w:t>
      </w:r>
    </w:p>
    <w:p w:rsidR="006E6FC3" w:rsidRPr="00CE4142" w:rsidRDefault="006E6FC3" w:rsidP="006E6FC3">
      <w:pPr>
        <w:rPr>
          <w:rFonts w:ascii="Times New Roman" w:hAnsi="Times New Roman"/>
          <w:szCs w:val="22"/>
        </w:rPr>
      </w:pPr>
    </w:p>
    <w:p w:rsidR="006E6FC3" w:rsidRPr="00CE4142" w:rsidRDefault="006E6FC3" w:rsidP="006E6FC3">
      <w:pPr>
        <w:rPr>
          <w:rFonts w:ascii="Times New Roman" w:hAnsi="Times New Roman"/>
          <w:szCs w:val="22"/>
        </w:rPr>
      </w:pPr>
      <w:r w:rsidRPr="00CE4142">
        <w:rPr>
          <w:rFonts w:ascii="Times New Roman" w:hAnsi="Times New Roman"/>
          <w:szCs w:val="22"/>
        </w:rPr>
        <w:t xml:space="preserve">A way to talk about this strategy is through a simple model of a pyramid, like the one shown below.  The pyramid reminds us that we have significant and large foundations that make possible a few momentous impacts at the summit.  </w:t>
      </w:r>
    </w:p>
    <w:p w:rsidR="006E6FC3" w:rsidRPr="00CE4142" w:rsidRDefault="006E6FC3" w:rsidP="006E6FC3">
      <w:pPr>
        <w:rPr>
          <w:rFonts w:ascii="Times New Roman" w:hAnsi="Times New Roman"/>
          <w:szCs w:val="22"/>
        </w:rPr>
      </w:pPr>
    </w:p>
    <w:p w:rsidR="006E6FC3" w:rsidRPr="00CE4142" w:rsidRDefault="006E6FC3" w:rsidP="006E6FC3">
      <w:pPr>
        <w:rPr>
          <w:rFonts w:ascii="Times New Roman" w:hAnsi="Times New Roman"/>
          <w:szCs w:val="22"/>
        </w:rPr>
      </w:pPr>
      <w:r w:rsidRPr="00CE4142">
        <w:rPr>
          <w:rFonts w:ascii="Times New Roman" w:hAnsi="Times New Roman"/>
          <w:szCs w:val="22"/>
        </w:rPr>
        <w:t>One of the questions we need to ask ourselves is to whom does the application face?  Much of the technology capacity building to-date has been internal—bringing information-based work up to current standards</w:t>
      </w:r>
      <w:r>
        <w:rPr>
          <w:rFonts w:ascii="Times New Roman" w:hAnsi="Times New Roman"/>
          <w:szCs w:val="22"/>
        </w:rPr>
        <w:t xml:space="preserve"> for our employees in Geneva and the Zones</w:t>
      </w:r>
      <w:r w:rsidRPr="00CE4142">
        <w:rPr>
          <w:rFonts w:ascii="Times New Roman" w:hAnsi="Times New Roman"/>
          <w:szCs w:val="22"/>
        </w:rPr>
        <w:t xml:space="preserve">.  The focus initially has been on infrastructure building, providing the basic foundations required for technology applications to be effective, at first in headquarters and increasingly in our country locations.  Based on the demand for closing some basic gaps, we could spend all our time and budget building infrastructure.  But that would mean missing the strategic opportunities that are possible.  </w:t>
      </w:r>
    </w:p>
    <w:p w:rsidR="006E6FC3" w:rsidRPr="00CE4142" w:rsidRDefault="006E6FC3" w:rsidP="006E6FC3">
      <w:pPr>
        <w:rPr>
          <w:rFonts w:ascii="Times New Roman" w:hAnsi="Times New Roman"/>
          <w:szCs w:val="22"/>
        </w:rPr>
      </w:pPr>
    </w:p>
    <w:p w:rsidR="006E6FC3" w:rsidRPr="00CE4142" w:rsidRDefault="006E6FC3" w:rsidP="006E6FC3">
      <w:pPr>
        <w:jc w:val="center"/>
        <w:rPr>
          <w:rFonts w:ascii="Times New Roman" w:hAnsi="Times New Roman"/>
          <w:szCs w:val="22"/>
        </w:rPr>
      </w:pPr>
      <w:r w:rsidRPr="00CE4142">
        <w:rPr>
          <w:rFonts w:ascii="Times New Roman" w:hAnsi="Times New Roman"/>
          <w:b/>
          <w:szCs w:val="22"/>
        </w:rPr>
        <w:t>Figure 1: Orders of Technology Impact</w:t>
      </w:r>
    </w:p>
    <w:p w:rsidR="006E6FC3" w:rsidRPr="00CE4142" w:rsidRDefault="006E6FC3" w:rsidP="006E6FC3">
      <w:pPr>
        <w:rPr>
          <w:rFonts w:ascii="Times New Roman" w:hAnsi="Times New Roman"/>
          <w:szCs w:val="22"/>
        </w:rPr>
      </w:pPr>
      <w:r w:rsidRPr="004A65E4">
        <w:rPr>
          <w:noProof/>
          <w:lang w:val="en-GB" w:eastAsia="en-GB"/>
        </w:rPr>
        <w:drawing>
          <wp:inline distT="0" distB="0" distL="0" distR="0">
            <wp:extent cx="5486400" cy="300520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486400" cy="3005209"/>
                    </a:xfrm>
                    <a:prstGeom prst="rect">
                      <a:avLst/>
                    </a:prstGeom>
                    <a:noFill/>
                    <a:ln w="9525">
                      <a:noFill/>
                      <a:miter lim="800000"/>
                      <a:headEnd/>
                      <a:tailEnd/>
                    </a:ln>
                  </pic:spPr>
                </pic:pic>
              </a:graphicData>
            </a:graphic>
          </wp:inline>
        </w:drawing>
      </w:r>
    </w:p>
    <w:p w:rsidR="006E6FC3" w:rsidRPr="00CE4142" w:rsidRDefault="006E6FC3" w:rsidP="006E6FC3">
      <w:pPr>
        <w:jc w:val="center"/>
        <w:rPr>
          <w:rFonts w:ascii="Times New Roman" w:hAnsi="Times New Roman"/>
          <w:szCs w:val="22"/>
        </w:rPr>
      </w:pPr>
      <w:r w:rsidRPr="00CE4142">
        <w:rPr>
          <w:rFonts w:ascii="Times New Roman" w:hAnsi="Times New Roman"/>
          <w:szCs w:val="22"/>
        </w:rPr>
        <w:t>Source: IS Strategic Model</w:t>
      </w:r>
    </w:p>
    <w:p w:rsidR="006E6FC3" w:rsidRPr="00CE4142" w:rsidRDefault="006E6FC3" w:rsidP="006E6FC3">
      <w:pPr>
        <w:rPr>
          <w:rFonts w:ascii="Times New Roman" w:hAnsi="Times New Roman"/>
          <w:szCs w:val="22"/>
        </w:rPr>
      </w:pPr>
    </w:p>
    <w:p w:rsidR="006E6FC3" w:rsidRPr="00CE4142" w:rsidRDefault="006E6FC3" w:rsidP="006E6FC3">
      <w:pPr>
        <w:rPr>
          <w:rFonts w:ascii="Times New Roman" w:hAnsi="Times New Roman"/>
          <w:szCs w:val="22"/>
        </w:rPr>
      </w:pPr>
      <w:r w:rsidRPr="00CE4142">
        <w:rPr>
          <w:rFonts w:ascii="Times New Roman" w:hAnsi="Times New Roman"/>
          <w:szCs w:val="22"/>
        </w:rPr>
        <w:t xml:space="preserve">Among the stakeholder-facing applications, we can see four orders of technology (Figure 1.)  The </w:t>
      </w:r>
      <w:r w:rsidRPr="00CE4142">
        <w:rPr>
          <w:rFonts w:ascii="Times New Roman" w:hAnsi="Times New Roman"/>
          <w:szCs w:val="22"/>
          <w:u w:val="single"/>
        </w:rPr>
        <w:t>first-order applications (</w:t>
      </w:r>
      <w:r>
        <w:rPr>
          <w:rFonts w:ascii="Times New Roman" w:hAnsi="Times New Roman"/>
          <w:szCs w:val="22"/>
          <w:u w:val="single"/>
        </w:rPr>
        <w:t>Beneficiary</w:t>
      </w:r>
      <w:r w:rsidRPr="00CE4142">
        <w:rPr>
          <w:rFonts w:ascii="Times New Roman" w:hAnsi="Times New Roman"/>
          <w:szCs w:val="22"/>
          <w:u w:val="single"/>
        </w:rPr>
        <w:t>)</w:t>
      </w:r>
      <w:r w:rsidRPr="00CE4142">
        <w:rPr>
          <w:rFonts w:ascii="Times New Roman" w:hAnsi="Times New Roman"/>
          <w:szCs w:val="22"/>
        </w:rPr>
        <w:t xml:space="preserve"> are those used directly by </w:t>
      </w:r>
      <w:r>
        <w:rPr>
          <w:rFonts w:ascii="Times New Roman" w:hAnsi="Times New Roman"/>
          <w:szCs w:val="22"/>
        </w:rPr>
        <w:t>the vulnerable</w:t>
      </w:r>
      <w:r w:rsidRPr="00CE4142">
        <w:rPr>
          <w:rFonts w:ascii="Times New Roman" w:hAnsi="Times New Roman"/>
          <w:szCs w:val="22"/>
        </w:rPr>
        <w:t xml:space="preserve"> in our programs.  Technology applications that are used directly by beneficiaries are the most strategic use of technology for an </w:t>
      </w:r>
      <w:r w:rsidRPr="00CE4142">
        <w:rPr>
          <w:rFonts w:ascii="Times New Roman" w:hAnsi="Times New Roman"/>
          <w:szCs w:val="22"/>
        </w:rPr>
        <w:lastRenderedPageBreak/>
        <w:t>International Non-government Organization (INGO.)  Some examples of these applications are in Appendix A.</w:t>
      </w:r>
    </w:p>
    <w:p w:rsidR="006E6FC3" w:rsidRPr="00CE4142" w:rsidRDefault="006E6FC3" w:rsidP="006E6FC3">
      <w:pPr>
        <w:rPr>
          <w:rFonts w:ascii="Times New Roman" w:hAnsi="Times New Roman"/>
          <w:szCs w:val="22"/>
        </w:rPr>
      </w:pPr>
    </w:p>
    <w:p w:rsidR="006E6FC3" w:rsidRPr="00CE4142" w:rsidRDefault="006E6FC3" w:rsidP="006E6FC3">
      <w:pPr>
        <w:rPr>
          <w:rFonts w:ascii="Times New Roman" w:hAnsi="Times New Roman"/>
          <w:szCs w:val="22"/>
        </w:rPr>
      </w:pPr>
      <w:r w:rsidRPr="00CE4142">
        <w:rPr>
          <w:rFonts w:ascii="Times New Roman" w:hAnsi="Times New Roman"/>
          <w:szCs w:val="22"/>
          <w:u w:val="single"/>
        </w:rPr>
        <w:t>The second-order applications (Program)</w:t>
      </w:r>
      <w:r w:rsidRPr="00CE4142">
        <w:rPr>
          <w:rFonts w:ascii="Times New Roman" w:hAnsi="Times New Roman"/>
          <w:szCs w:val="22"/>
        </w:rPr>
        <w:t xml:space="preserve"> are those that improve program delivery to beneficiaries.  These are further down the pyramid of strategic applications (see Figure 1 above) and are comprised of the work flow applications that improve the productivity of program delivery.  Examples of these include Emergency Response (ER) applications, Supply Chain Management (</w:t>
      </w:r>
      <w:r>
        <w:rPr>
          <w:rFonts w:ascii="Times New Roman" w:hAnsi="Times New Roman"/>
          <w:szCs w:val="22"/>
        </w:rPr>
        <w:t>SC</w:t>
      </w:r>
      <w:r w:rsidRPr="00CE4142">
        <w:rPr>
          <w:rFonts w:ascii="Times New Roman" w:hAnsi="Times New Roman"/>
          <w:szCs w:val="22"/>
        </w:rPr>
        <w:t>M) applications</w:t>
      </w:r>
      <w:r>
        <w:rPr>
          <w:rFonts w:ascii="Times New Roman" w:hAnsi="Times New Roman"/>
          <w:szCs w:val="22"/>
        </w:rPr>
        <w:t xml:space="preserve"> (including Logistics)</w:t>
      </w:r>
      <w:r w:rsidRPr="00CE4142">
        <w:rPr>
          <w:rFonts w:ascii="Times New Roman" w:hAnsi="Times New Roman"/>
          <w:szCs w:val="22"/>
        </w:rPr>
        <w:t>, Program-Project Management applications, and Measurement and Evaluation (M&amp;E) data collection and reporting applications.</w:t>
      </w:r>
    </w:p>
    <w:p w:rsidR="006E6FC3" w:rsidRPr="00CE4142" w:rsidRDefault="006E6FC3" w:rsidP="006E6FC3">
      <w:pPr>
        <w:rPr>
          <w:rFonts w:ascii="Times New Roman" w:hAnsi="Times New Roman"/>
          <w:szCs w:val="22"/>
        </w:rPr>
      </w:pPr>
    </w:p>
    <w:p w:rsidR="006E6FC3" w:rsidRPr="00CE4142" w:rsidRDefault="006E6FC3" w:rsidP="006E6FC3">
      <w:pPr>
        <w:rPr>
          <w:rFonts w:ascii="Times New Roman" w:hAnsi="Times New Roman"/>
          <w:szCs w:val="22"/>
        </w:rPr>
      </w:pPr>
      <w:r w:rsidRPr="00CE4142">
        <w:rPr>
          <w:rFonts w:ascii="Times New Roman" w:hAnsi="Times New Roman"/>
          <w:szCs w:val="22"/>
          <w:u w:val="single"/>
        </w:rPr>
        <w:t>Third-order applications (operational)</w:t>
      </w:r>
      <w:r w:rsidRPr="00CE4142">
        <w:rPr>
          <w:rFonts w:ascii="Times New Roman" w:hAnsi="Times New Roman"/>
          <w:szCs w:val="22"/>
        </w:rPr>
        <w:t xml:space="preserve"> deliver the revenue and the operations that help build the first two.  Examples include </w:t>
      </w:r>
      <w:r>
        <w:rPr>
          <w:rFonts w:ascii="Times New Roman" w:hAnsi="Times New Roman"/>
          <w:szCs w:val="22"/>
        </w:rPr>
        <w:t>Volunteer</w:t>
      </w:r>
      <w:r w:rsidRPr="00CE4142">
        <w:rPr>
          <w:rFonts w:ascii="Times New Roman" w:hAnsi="Times New Roman"/>
          <w:szCs w:val="22"/>
        </w:rPr>
        <w:t xml:space="preserve"> Management Sy</w:t>
      </w:r>
      <w:r>
        <w:rPr>
          <w:rFonts w:ascii="Times New Roman" w:hAnsi="Times New Roman"/>
          <w:szCs w:val="22"/>
        </w:rPr>
        <w:t>stems</w:t>
      </w:r>
      <w:r w:rsidRPr="00CE4142">
        <w:rPr>
          <w:rFonts w:ascii="Times New Roman" w:hAnsi="Times New Roman"/>
          <w:szCs w:val="22"/>
        </w:rPr>
        <w:t xml:space="preserve">, </w:t>
      </w:r>
      <w:r>
        <w:rPr>
          <w:rFonts w:ascii="Times New Roman" w:hAnsi="Times New Roman"/>
          <w:szCs w:val="22"/>
        </w:rPr>
        <w:t>HR M</w:t>
      </w:r>
      <w:r w:rsidRPr="00CE4142">
        <w:rPr>
          <w:rFonts w:ascii="Times New Roman" w:hAnsi="Times New Roman"/>
          <w:szCs w:val="22"/>
        </w:rPr>
        <w:t>anagement Systems (</w:t>
      </w:r>
      <w:r>
        <w:rPr>
          <w:rFonts w:ascii="Times New Roman" w:hAnsi="Times New Roman"/>
          <w:szCs w:val="22"/>
        </w:rPr>
        <w:t xml:space="preserve">e.g. SAP) </w:t>
      </w:r>
      <w:r w:rsidRPr="00CE4142">
        <w:rPr>
          <w:rFonts w:ascii="Times New Roman" w:hAnsi="Times New Roman"/>
          <w:szCs w:val="22"/>
        </w:rPr>
        <w:t xml:space="preserve">and Finance Management Systems (e.g. </w:t>
      </w:r>
      <w:r>
        <w:rPr>
          <w:rFonts w:ascii="Times New Roman" w:hAnsi="Times New Roman"/>
          <w:szCs w:val="22"/>
        </w:rPr>
        <w:t>CODA</w:t>
      </w:r>
      <w:r w:rsidRPr="00CE4142">
        <w:rPr>
          <w:rFonts w:ascii="Times New Roman" w:hAnsi="Times New Roman"/>
          <w:szCs w:val="22"/>
        </w:rPr>
        <w:t>)</w:t>
      </w:r>
      <w:r>
        <w:rPr>
          <w:rStyle w:val="FootnoteReference"/>
          <w:rFonts w:ascii="Times New Roman" w:hAnsi="Times New Roman"/>
          <w:szCs w:val="22"/>
        </w:rPr>
        <w:footnoteReference w:id="3"/>
      </w:r>
      <w:r w:rsidRPr="00CE4142">
        <w:rPr>
          <w:rFonts w:ascii="Times New Roman" w:hAnsi="Times New Roman"/>
          <w:szCs w:val="22"/>
        </w:rPr>
        <w:t xml:space="preserve">.  </w:t>
      </w:r>
      <w:r>
        <w:rPr>
          <w:rFonts w:ascii="Times New Roman" w:hAnsi="Times New Roman"/>
          <w:szCs w:val="22"/>
        </w:rPr>
        <w:t>For members, b</w:t>
      </w:r>
      <w:r w:rsidRPr="00CE4142">
        <w:rPr>
          <w:rFonts w:ascii="Times New Roman" w:hAnsi="Times New Roman"/>
          <w:szCs w:val="22"/>
        </w:rPr>
        <w:t xml:space="preserve">eing able to raise more donations, and do so for less cost per dollar, and operate more efficiently means that more money gets to our </w:t>
      </w:r>
      <w:r>
        <w:rPr>
          <w:rFonts w:ascii="Times New Roman" w:hAnsi="Times New Roman"/>
          <w:szCs w:val="22"/>
        </w:rPr>
        <w:t>beneficiary</w:t>
      </w:r>
      <w:r w:rsidRPr="00CE4142">
        <w:rPr>
          <w:rFonts w:ascii="Times New Roman" w:hAnsi="Times New Roman"/>
          <w:szCs w:val="22"/>
        </w:rPr>
        <w:t xml:space="preserve">’s programs.  </w:t>
      </w:r>
    </w:p>
    <w:p w:rsidR="006E6FC3" w:rsidRPr="00CE4142" w:rsidRDefault="006E6FC3" w:rsidP="006E6FC3">
      <w:pPr>
        <w:rPr>
          <w:rFonts w:ascii="Times New Roman" w:hAnsi="Times New Roman"/>
          <w:szCs w:val="22"/>
        </w:rPr>
      </w:pPr>
    </w:p>
    <w:p w:rsidR="006E6FC3" w:rsidRDefault="006E6FC3" w:rsidP="006E6FC3">
      <w:pPr>
        <w:rPr>
          <w:rFonts w:ascii="Times New Roman" w:hAnsi="Times New Roman"/>
          <w:szCs w:val="22"/>
        </w:rPr>
      </w:pPr>
      <w:r w:rsidRPr="00CE4142">
        <w:rPr>
          <w:rFonts w:ascii="Times New Roman" w:hAnsi="Times New Roman"/>
          <w:szCs w:val="22"/>
        </w:rPr>
        <w:t xml:space="preserve">The </w:t>
      </w:r>
      <w:r w:rsidRPr="00CE4142">
        <w:rPr>
          <w:rFonts w:ascii="Times New Roman" w:hAnsi="Times New Roman"/>
          <w:szCs w:val="22"/>
          <w:u w:val="single"/>
        </w:rPr>
        <w:t>fourth-order systems</w:t>
      </w:r>
      <w:r w:rsidRPr="00CE4142">
        <w:rPr>
          <w:rFonts w:ascii="Times New Roman" w:hAnsi="Times New Roman"/>
          <w:szCs w:val="22"/>
        </w:rPr>
        <w:t xml:space="preserve"> (Foundational) are the infrastructure that underlies all three of the others.  Th</w:t>
      </w:r>
      <w:r>
        <w:rPr>
          <w:rFonts w:ascii="Times New Roman" w:hAnsi="Times New Roman"/>
          <w:szCs w:val="22"/>
        </w:rPr>
        <w:t xml:space="preserve">is includes Desktop PCs, Office </w:t>
      </w:r>
      <w:r w:rsidRPr="00CE4142">
        <w:rPr>
          <w:rFonts w:ascii="Times New Roman" w:hAnsi="Times New Roman"/>
          <w:szCs w:val="22"/>
        </w:rPr>
        <w:t xml:space="preserve">Application Suites, Email, Internet, Servers and Communications.  At </w:t>
      </w:r>
      <w:r>
        <w:rPr>
          <w:rFonts w:ascii="Times New Roman" w:hAnsi="Times New Roman"/>
          <w:szCs w:val="22"/>
        </w:rPr>
        <w:t>IFRC</w:t>
      </w:r>
      <w:r w:rsidRPr="00CE4142">
        <w:rPr>
          <w:rFonts w:ascii="Times New Roman" w:hAnsi="Times New Roman"/>
          <w:szCs w:val="22"/>
        </w:rPr>
        <w:t xml:space="preserve"> it has become evident that basic connectivity is the foundation for everything else we need to do with technology.  No connection means no automated information flow. </w:t>
      </w:r>
      <w:r>
        <w:rPr>
          <w:rFonts w:ascii="Times New Roman" w:hAnsi="Times New Roman"/>
          <w:szCs w:val="22"/>
        </w:rPr>
        <w:t xml:space="preserve"> </w:t>
      </w:r>
      <w:r w:rsidRPr="00CE4142">
        <w:rPr>
          <w:rFonts w:ascii="Times New Roman" w:hAnsi="Times New Roman"/>
          <w:szCs w:val="22"/>
        </w:rPr>
        <w:t>Collaboration groups, like NetHope</w:t>
      </w:r>
      <w:r w:rsidRPr="00CE4142">
        <w:rPr>
          <w:rStyle w:val="FootnoteReference"/>
          <w:rFonts w:ascii="Times New Roman" w:hAnsi="Times New Roman"/>
          <w:szCs w:val="22"/>
        </w:rPr>
        <w:footnoteReference w:id="4"/>
      </w:r>
      <w:r>
        <w:rPr>
          <w:rFonts w:ascii="Times New Roman" w:hAnsi="Times New Roman"/>
          <w:szCs w:val="22"/>
        </w:rPr>
        <w:t xml:space="preserve"> </w:t>
      </w:r>
      <w:r w:rsidRPr="00CE4142">
        <w:rPr>
          <w:rFonts w:ascii="Times New Roman" w:hAnsi="Times New Roman"/>
          <w:szCs w:val="22"/>
        </w:rPr>
        <w:t xml:space="preserve">are focused on delivering connections to the most challenged areas of the world in which we work, going the “last 100 kilometers” to reach those in need whom we serve.  </w:t>
      </w:r>
    </w:p>
    <w:p w:rsidR="00335735" w:rsidRPr="00CE4142" w:rsidRDefault="00335735" w:rsidP="006E6FC3">
      <w:pPr>
        <w:rPr>
          <w:rFonts w:ascii="Times New Roman" w:hAnsi="Times New Roman"/>
          <w:szCs w:val="22"/>
        </w:rPr>
      </w:pPr>
    </w:p>
    <w:p w:rsidR="006E6FC3" w:rsidRPr="00335735" w:rsidRDefault="00335735" w:rsidP="006E6FC3">
      <w:pPr>
        <w:rPr>
          <w:rFonts w:ascii="Times New Roman" w:hAnsi="Times New Roman"/>
          <w:b/>
          <w:szCs w:val="22"/>
        </w:rPr>
      </w:pPr>
      <w:r w:rsidRPr="00335735">
        <w:rPr>
          <w:rFonts w:ascii="Times New Roman" w:hAnsi="Times New Roman"/>
          <w:b/>
          <w:szCs w:val="22"/>
        </w:rPr>
        <w:t>A St</w:t>
      </w:r>
      <w:r>
        <w:rPr>
          <w:rFonts w:ascii="Times New Roman" w:hAnsi="Times New Roman"/>
          <w:b/>
          <w:szCs w:val="22"/>
        </w:rPr>
        <w:t>ra</w:t>
      </w:r>
      <w:r w:rsidRPr="00335735">
        <w:rPr>
          <w:rFonts w:ascii="Times New Roman" w:hAnsi="Times New Roman"/>
          <w:b/>
          <w:szCs w:val="22"/>
        </w:rPr>
        <w:t>tegic Portfolio</w:t>
      </w:r>
    </w:p>
    <w:p w:rsidR="00335735" w:rsidRPr="00CE4142" w:rsidRDefault="00335735" w:rsidP="006E6FC3">
      <w:pPr>
        <w:rPr>
          <w:rFonts w:ascii="Times New Roman" w:hAnsi="Times New Roman"/>
          <w:szCs w:val="22"/>
        </w:rPr>
      </w:pPr>
    </w:p>
    <w:p w:rsidR="006E6FC3" w:rsidRPr="00CE4142" w:rsidRDefault="006E6FC3" w:rsidP="006E6FC3">
      <w:pPr>
        <w:rPr>
          <w:rFonts w:ascii="Times New Roman" w:hAnsi="Times New Roman"/>
          <w:szCs w:val="22"/>
        </w:rPr>
      </w:pPr>
      <w:r w:rsidRPr="00CE4142">
        <w:rPr>
          <w:rFonts w:ascii="Times New Roman" w:hAnsi="Times New Roman"/>
          <w:szCs w:val="22"/>
        </w:rPr>
        <w:t xml:space="preserve">The technology strategy changes for each level of the pyramid.  For the Foundational level, the objective is to drive out costs so the IT unit cost decreases. </w:t>
      </w:r>
      <w:r w:rsidR="00335735">
        <w:rPr>
          <w:rFonts w:ascii="Times New Roman" w:hAnsi="Times New Roman"/>
          <w:szCs w:val="22"/>
        </w:rPr>
        <w:t xml:space="preserve"> This means “getting out” of traditional, commodity data center, support and networking businesses and redeploying our people to support technologies “up the technology pyramid” for the benefit of our members.</w:t>
      </w:r>
      <w:r w:rsidRPr="00CE4142">
        <w:rPr>
          <w:rFonts w:ascii="Times New Roman" w:hAnsi="Times New Roman"/>
          <w:szCs w:val="22"/>
        </w:rPr>
        <w:t xml:space="preserve"> This will be done by sharing more services across the </w:t>
      </w:r>
      <w:r>
        <w:rPr>
          <w:rFonts w:ascii="Times New Roman" w:hAnsi="Times New Roman"/>
          <w:szCs w:val="22"/>
        </w:rPr>
        <w:t>Federation</w:t>
      </w:r>
      <w:r w:rsidRPr="00CE4142">
        <w:rPr>
          <w:rFonts w:ascii="Times New Roman" w:hAnsi="Times New Roman"/>
          <w:szCs w:val="22"/>
        </w:rPr>
        <w:t xml:space="preserve"> and other </w:t>
      </w:r>
      <w:r w:rsidR="00296C42">
        <w:rPr>
          <w:rFonts w:ascii="Times New Roman" w:hAnsi="Times New Roman"/>
          <w:szCs w:val="22"/>
        </w:rPr>
        <w:t>I</w:t>
      </w:r>
      <w:r w:rsidRPr="00CE4142">
        <w:rPr>
          <w:rFonts w:ascii="Times New Roman" w:hAnsi="Times New Roman"/>
          <w:szCs w:val="22"/>
        </w:rPr>
        <w:t xml:space="preserve">NGOs through </w:t>
      </w:r>
      <w:r w:rsidR="00335735">
        <w:rPr>
          <w:rFonts w:ascii="Times New Roman" w:hAnsi="Times New Roman"/>
          <w:szCs w:val="22"/>
        </w:rPr>
        <w:t xml:space="preserve">partnering with technology companies and </w:t>
      </w:r>
      <w:r w:rsidRPr="00CE4142">
        <w:rPr>
          <w:rFonts w:ascii="Times New Roman" w:hAnsi="Times New Roman"/>
          <w:szCs w:val="22"/>
        </w:rPr>
        <w:t>organizations like NetHope.  In some cases we will look to “in-source” services where this is more cost effective; in other cases we will outsource them.  In either case we will seek lower unit costs while improving quality and standardizing processes.  As the corporate world learned over the past decade, variation in processes is an unnecessary cost, especially for commodity processes</w:t>
      </w:r>
      <w:r w:rsidR="00335735">
        <w:rPr>
          <w:rFonts w:ascii="Times New Roman" w:hAnsi="Times New Roman"/>
          <w:szCs w:val="22"/>
        </w:rPr>
        <w:t xml:space="preserve">. </w:t>
      </w:r>
    </w:p>
    <w:p w:rsidR="006E6FC3" w:rsidRPr="00CE4142" w:rsidRDefault="006E6FC3" w:rsidP="006E6FC3">
      <w:pPr>
        <w:rPr>
          <w:rFonts w:ascii="Times New Roman" w:hAnsi="Times New Roman"/>
          <w:szCs w:val="22"/>
        </w:rPr>
      </w:pPr>
    </w:p>
    <w:p w:rsidR="006E6FC3" w:rsidRPr="00CE4142" w:rsidRDefault="006E6FC3" w:rsidP="006E6FC3">
      <w:pPr>
        <w:rPr>
          <w:rFonts w:ascii="Times New Roman" w:hAnsi="Times New Roman"/>
          <w:szCs w:val="22"/>
        </w:rPr>
      </w:pPr>
      <w:r w:rsidRPr="00CE4142">
        <w:rPr>
          <w:rFonts w:ascii="Times New Roman" w:hAnsi="Times New Roman"/>
          <w:szCs w:val="22"/>
        </w:rPr>
        <w:t>For the Operational level, the objective is to leverage more commercial</w:t>
      </w:r>
      <w:r w:rsidR="00335735">
        <w:rPr>
          <w:rFonts w:ascii="Times New Roman" w:hAnsi="Times New Roman"/>
          <w:szCs w:val="22"/>
        </w:rPr>
        <w:t xml:space="preserve"> fit-for-purpose,</w:t>
      </w:r>
      <w:r w:rsidRPr="00CE4142">
        <w:rPr>
          <w:rFonts w:ascii="Times New Roman" w:hAnsi="Times New Roman"/>
          <w:szCs w:val="22"/>
        </w:rPr>
        <w:t xml:space="preserve"> off-the-shelf commercial applications (COTS) and take a “buy” rather than “build” approach.  For most of the operational level applications, such as finance and donor management software, there is little opportunity—or reason—to differentiate ourselves from other INGOs.  The longer-term costs of customization are significantly larger, even when the initial costs appear lower</w:t>
      </w:r>
      <w:r>
        <w:rPr>
          <w:rFonts w:ascii="Times New Roman" w:hAnsi="Times New Roman"/>
          <w:szCs w:val="22"/>
        </w:rPr>
        <w:t>.</w:t>
      </w:r>
      <w:r w:rsidR="00296C42">
        <w:rPr>
          <w:rFonts w:ascii="Times New Roman" w:hAnsi="Times New Roman"/>
          <w:szCs w:val="22"/>
        </w:rPr>
        <w:t xml:space="preserve">  Renting smaller, specific Software-as-a-Service (SaaS) applications like Cornerstone for HR functions will be goal.  </w:t>
      </w:r>
      <w:r>
        <w:rPr>
          <w:rFonts w:ascii="Times New Roman" w:hAnsi="Times New Roman"/>
          <w:szCs w:val="22"/>
        </w:rPr>
        <w:t xml:space="preserve"> </w:t>
      </w:r>
    </w:p>
    <w:p w:rsidR="006E6FC3" w:rsidRPr="00CE4142" w:rsidRDefault="006E6FC3" w:rsidP="006E6FC3">
      <w:pPr>
        <w:rPr>
          <w:rFonts w:ascii="Times New Roman" w:hAnsi="Times New Roman"/>
          <w:szCs w:val="22"/>
        </w:rPr>
      </w:pPr>
    </w:p>
    <w:p w:rsidR="006E6FC3" w:rsidRPr="00CE4142" w:rsidRDefault="006E6FC3" w:rsidP="006E6FC3">
      <w:pPr>
        <w:rPr>
          <w:rFonts w:ascii="Times New Roman" w:hAnsi="Times New Roman"/>
          <w:szCs w:val="22"/>
        </w:rPr>
      </w:pPr>
      <w:r w:rsidRPr="00CE4142">
        <w:rPr>
          <w:rFonts w:ascii="Times New Roman" w:hAnsi="Times New Roman"/>
          <w:szCs w:val="22"/>
        </w:rPr>
        <w:t xml:space="preserve">For the Program level, the objective is to connect and deliver.  As noted </w:t>
      </w:r>
      <w:r w:rsidR="00335735">
        <w:rPr>
          <w:rFonts w:ascii="Times New Roman" w:hAnsi="Times New Roman"/>
          <w:szCs w:val="22"/>
        </w:rPr>
        <w:t>above</w:t>
      </w:r>
      <w:r w:rsidRPr="00CE4142">
        <w:rPr>
          <w:rFonts w:ascii="Times New Roman" w:hAnsi="Times New Roman"/>
          <w:szCs w:val="22"/>
        </w:rPr>
        <w:t xml:space="preserve">, “wiring” our </w:t>
      </w:r>
      <w:r>
        <w:rPr>
          <w:rFonts w:ascii="Times New Roman" w:hAnsi="Times New Roman"/>
          <w:szCs w:val="22"/>
        </w:rPr>
        <w:t>NS</w:t>
      </w:r>
      <w:r w:rsidRPr="00CE4142">
        <w:rPr>
          <w:rFonts w:ascii="Times New Roman" w:hAnsi="Times New Roman"/>
          <w:szCs w:val="22"/>
        </w:rPr>
        <w:t xml:space="preserve"> offices </w:t>
      </w:r>
      <w:r>
        <w:rPr>
          <w:rFonts w:ascii="Times New Roman" w:hAnsi="Times New Roman"/>
          <w:szCs w:val="22"/>
        </w:rPr>
        <w:t>with</w:t>
      </w:r>
      <w:r w:rsidRPr="00CE4142">
        <w:rPr>
          <w:rFonts w:ascii="Times New Roman" w:hAnsi="Times New Roman"/>
          <w:szCs w:val="22"/>
        </w:rPr>
        <w:t xml:space="preserve"> increasing bandwidth, is the prerequisite. It is the subsequent web-based applications that run on our field network that provides the return on our investment.   Key objectives at this level are to deliver the applications that build the capacity of </w:t>
      </w:r>
      <w:r>
        <w:rPr>
          <w:rFonts w:ascii="Times New Roman" w:hAnsi="Times New Roman"/>
          <w:szCs w:val="22"/>
        </w:rPr>
        <w:t>NS</w:t>
      </w:r>
      <w:r w:rsidRPr="00CE4142">
        <w:rPr>
          <w:rFonts w:ascii="Times New Roman" w:hAnsi="Times New Roman"/>
          <w:szCs w:val="22"/>
        </w:rPr>
        <w:t xml:space="preserve"> fieldworkers so that doubling the number of </w:t>
      </w:r>
      <w:r>
        <w:rPr>
          <w:rFonts w:ascii="Times New Roman" w:hAnsi="Times New Roman"/>
          <w:szCs w:val="22"/>
        </w:rPr>
        <w:t>beneficiaries</w:t>
      </w:r>
      <w:r w:rsidRPr="00CE4142">
        <w:rPr>
          <w:rFonts w:ascii="Times New Roman" w:hAnsi="Times New Roman"/>
          <w:szCs w:val="22"/>
        </w:rPr>
        <w:t xml:space="preserve"> we reach does not mean doubling our staff.  Supply Chain Management (</w:t>
      </w:r>
      <w:r w:rsidR="00335735">
        <w:rPr>
          <w:rFonts w:ascii="Times New Roman" w:hAnsi="Times New Roman"/>
          <w:szCs w:val="22"/>
        </w:rPr>
        <w:t>SCM)</w:t>
      </w:r>
      <w:r w:rsidRPr="00CE4142">
        <w:rPr>
          <w:rFonts w:ascii="Times New Roman" w:hAnsi="Times New Roman"/>
          <w:szCs w:val="22"/>
        </w:rPr>
        <w:t>, DM&amp;E, and Pro</w:t>
      </w:r>
      <w:r w:rsidR="00335735">
        <w:rPr>
          <w:rFonts w:ascii="Times New Roman" w:hAnsi="Times New Roman"/>
          <w:szCs w:val="22"/>
        </w:rPr>
        <w:t xml:space="preserve">gram Project Management </w:t>
      </w:r>
      <w:r w:rsidRPr="00CE4142">
        <w:rPr>
          <w:rFonts w:ascii="Times New Roman" w:hAnsi="Times New Roman"/>
          <w:szCs w:val="22"/>
        </w:rPr>
        <w:t xml:space="preserve">applications come to mind. </w:t>
      </w:r>
    </w:p>
    <w:p w:rsidR="006E6FC3" w:rsidRPr="00CE4142" w:rsidRDefault="006E6FC3" w:rsidP="006E6FC3">
      <w:pPr>
        <w:rPr>
          <w:rFonts w:ascii="Times New Roman" w:hAnsi="Times New Roman"/>
          <w:szCs w:val="22"/>
        </w:rPr>
      </w:pPr>
    </w:p>
    <w:p w:rsidR="00296C42" w:rsidRDefault="006E6FC3" w:rsidP="006E6FC3">
      <w:pPr>
        <w:rPr>
          <w:rFonts w:ascii="Times New Roman" w:hAnsi="Times New Roman"/>
          <w:szCs w:val="22"/>
        </w:rPr>
      </w:pPr>
      <w:r w:rsidRPr="00CE4142">
        <w:rPr>
          <w:rFonts w:ascii="Times New Roman" w:hAnsi="Times New Roman"/>
          <w:szCs w:val="22"/>
        </w:rPr>
        <w:t>For the Strategic lev</w:t>
      </w:r>
      <w:r>
        <w:rPr>
          <w:rFonts w:ascii="Times New Roman" w:hAnsi="Times New Roman"/>
          <w:szCs w:val="22"/>
        </w:rPr>
        <w:t>el,</w:t>
      </w:r>
      <w:r w:rsidRPr="00CE4142">
        <w:rPr>
          <w:rFonts w:ascii="Times New Roman" w:hAnsi="Times New Roman"/>
          <w:szCs w:val="22"/>
        </w:rPr>
        <w:t xml:space="preserve"> we should be able to answer the question: What new programs (that directly serve </w:t>
      </w:r>
      <w:r>
        <w:rPr>
          <w:rFonts w:ascii="Times New Roman" w:hAnsi="Times New Roman"/>
          <w:szCs w:val="22"/>
        </w:rPr>
        <w:t>beneficiaries</w:t>
      </w:r>
      <w:r w:rsidRPr="00CE4142">
        <w:rPr>
          <w:rFonts w:ascii="Times New Roman" w:hAnsi="Times New Roman"/>
          <w:szCs w:val="22"/>
        </w:rPr>
        <w:t xml:space="preserve">) have we engendered that would not have been possible without the new use of technology? This is the most strategic use of technology—that which directly moves the mission of our organization forward. </w:t>
      </w:r>
      <w:r w:rsidR="00296C42">
        <w:rPr>
          <w:rFonts w:ascii="Times New Roman" w:hAnsi="Times New Roman"/>
          <w:szCs w:val="22"/>
        </w:rPr>
        <w:t xml:space="preserve">These are the applications that we need to “get into” as we “get out” of business of managing lights-on systems. </w:t>
      </w:r>
    </w:p>
    <w:p w:rsidR="00296C42" w:rsidRDefault="00296C42" w:rsidP="006E6FC3">
      <w:pPr>
        <w:rPr>
          <w:rFonts w:ascii="Times New Roman" w:hAnsi="Times New Roman"/>
          <w:szCs w:val="22"/>
        </w:rPr>
      </w:pPr>
    </w:p>
    <w:p w:rsidR="006E6FC3" w:rsidRPr="00CE4142" w:rsidRDefault="006E6FC3" w:rsidP="006E6FC3">
      <w:pPr>
        <w:rPr>
          <w:rFonts w:ascii="Times New Roman" w:hAnsi="Times New Roman"/>
          <w:szCs w:val="22"/>
        </w:rPr>
      </w:pPr>
      <w:r w:rsidRPr="00CE4142">
        <w:rPr>
          <w:rFonts w:ascii="Times New Roman" w:hAnsi="Times New Roman"/>
          <w:szCs w:val="22"/>
        </w:rPr>
        <w:t>For a nonprofit, it is hard to justify IT expenses that are focused only on the desktop or back office</w:t>
      </w:r>
      <w:r w:rsidR="00296C42">
        <w:rPr>
          <w:rFonts w:ascii="Times New Roman" w:hAnsi="Times New Roman"/>
          <w:szCs w:val="22"/>
        </w:rPr>
        <w:t xml:space="preserve"> (the lights-on IT)</w:t>
      </w:r>
      <w:r w:rsidRPr="00CE4142">
        <w:rPr>
          <w:rFonts w:ascii="Times New Roman" w:hAnsi="Times New Roman"/>
          <w:szCs w:val="22"/>
        </w:rPr>
        <w:t>. IT success means new and revitalized programs that leverage technology.</w:t>
      </w:r>
      <w:r w:rsidR="00335735">
        <w:rPr>
          <w:rFonts w:ascii="Times New Roman" w:hAnsi="Times New Roman"/>
          <w:szCs w:val="22"/>
        </w:rPr>
        <w:t xml:space="preserve">  </w:t>
      </w:r>
      <w:r w:rsidR="00296C42">
        <w:rPr>
          <w:rFonts w:ascii="Times New Roman" w:hAnsi="Times New Roman"/>
          <w:szCs w:val="22"/>
        </w:rPr>
        <w:t xml:space="preserve">So we need to approach our IT projects as if it were a portfolio of investments, with objectives and initiatives at each level.  The overarching goal is to </w:t>
      </w:r>
      <w:r w:rsidR="00335735">
        <w:rPr>
          <w:rFonts w:ascii="Times New Roman" w:hAnsi="Times New Roman"/>
          <w:szCs w:val="22"/>
        </w:rPr>
        <w:t>mov</w:t>
      </w:r>
      <w:r w:rsidR="00296C42">
        <w:rPr>
          <w:rFonts w:ascii="Times New Roman" w:hAnsi="Times New Roman"/>
          <w:szCs w:val="22"/>
        </w:rPr>
        <w:t>e</w:t>
      </w:r>
      <w:r w:rsidR="00335735">
        <w:rPr>
          <w:rFonts w:ascii="Times New Roman" w:hAnsi="Times New Roman"/>
          <w:szCs w:val="22"/>
        </w:rPr>
        <w:t xml:space="preserve"> the technology agenda up-the-pyramid so that we become stronger in having real and lasting impact on the vulnerable of the world.</w:t>
      </w:r>
    </w:p>
    <w:p w:rsidR="00A6688D" w:rsidRDefault="00A6688D"/>
    <w:sectPr w:rsidR="00A6688D" w:rsidSect="009E20A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3ED" w:rsidRDefault="00B843ED" w:rsidP="006E6FC3">
      <w:r>
        <w:separator/>
      </w:r>
    </w:p>
  </w:endnote>
  <w:endnote w:type="continuationSeparator" w:id="0">
    <w:p w:rsidR="00B843ED" w:rsidRDefault="00B843ED" w:rsidP="006E6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23648"/>
      <w:docPartObj>
        <w:docPartGallery w:val="Page Numbers (Bottom of Page)"/>
        <w:docPartUnique/>
      </w:docPartObj>
    </w:sdtPr>
    <w:sdtContent>
      <w:p w:rsidR="00335735" w:rsidRDefault="00BC7FC5">
        <w:pPr>
          <w:pStyle w:val="Footer"/>
          <w:jc w:val="center"/>
        </w:pPr>
        <w:fldSimple w:instr=" PAGE   \* MERGEFORMAT ">
          <w:r w:rsidR="00771081">
            <w:rPr>
              <w:noProof/>
            </w:rPr>
            <w:t>1</w:t>
          </w:r>
        </w:fldSimple>
      </w:p>
    </w:sdtContent>
  </w:sdt>
  <w:p w:rsidR="00335735" w:rsidRDefault="00335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3ED" w:rsidRDefault="00B843ED" w:rsidP="006E6FC3">
      <w:r>
        <w:separator/>
      </w:r>
    </w:p>
  </w:footnote>
  <w:footnote w:type="continuationSeparator" w:id="0">
    <w:p w:rsidR="00B843ED" w:rsidRDefault="00B843ED" w:rsidP="006E6FC3">
      <w:r>
        <w:continuationSeparator/>
      </w:r>
    </w:p>
  </w:footnote>
  <w:footnote w:id="1">
    <w:p w:rsidR="00335735" w:rsidRDefault="00335735" w:rsidP="006E6FC3">
      <w:r w:rsidRPr="008A0B4C">
        <w:rPr>
          <w:rStyle w:val="FootnoteReference"/>
          <w:rFonts w:ascii="Times New Roman" w:hAnsi="Times New Roman"/>
        </w:rPr>
        <w:footnoteRef/>
      </w:r>
      <w:r w:rsidRPr="008A0B4C">
        <w:rPr>
          <w:rFonts w:ascii="Times New Roman" w:hAnsi="Times New Roman"/>
          <w:sz w:val="20"/>
        </w:rPr>
        <w:t xml:space="preserve">Robert Austin and Stephen Bradley, </w:t>
      </w:r>
      <w:r w:rsidRPr="008A0B4C">
        <w:rPr>
          <w:rFonts w:ascii="Times New Roman" w:hAnsi="Times New Roman"/>
          <w:sz w:val="20"/>
          <w:u w:val="single"/>
        </w:rPr>
        <w:t>The Broadband Explosion</w:t>
      </w:r>
      <w:r w:rsidRPr="008A0B4C">
        <w:rPr>
          <w:rFonts w:ascii="Times New Roman" w:hAnsi="Times New Roman"/>
          <w:sz w:val="20"/>
        </w:rPr>
        <w:t>, 2005, p.3.</w:t>
      </w:r>
    </w:p>
  </w:footnote>
  <w:footnote w:id="2">
    <w:p w:rsidR="00335735" w:rsidRDefault="00335735" w:rsidP="006E6FC3">
      <w:pPr>
        <w:pStyle w:val="FootnoteText"/>
        <w:rPr>
          <w:rFonts w:ascii="Times New Roman" w:hAnsi="Times New Roman"/>
        </w:rPr>
      </w:pPr>
      <w:r w:rsidRPr="008A0B4C">
        <w:rPr>
          <w:rStyle w:val="FootnoteReference"/>
          <w:rFonts w:ascii="Times New Roman" w:hAnsi="Times New Roman"/>
        </w:rPr>
        <w:footnoteRef/>
      </w:r>
      <w:smartTag w:uri="urn:schemas-microsoft-com:office:smarttags" w:element="place">
        <w:smartTag w:uri="urn:schemas-microsoft-com:office:smarttags" w:element="City">
          <w:r w:rsidRPr="008A0B4C">
            <w:rPr>
              <w:rFonts w:ascii="Times New Roman" w:hAnsi="Times New Roman"/>
            </w:rPr>
            <w:t>Austin</w:t>
          </w:r>
        </w:smartTag>
      </w:smartTag>
      <w:r w:rsidRPr="008A0B4C">
        <w:rPr>
          <w:rFonts w:ascii="Times New Roman" w:hAnsi="Times New Roman"/>
        </w:rPr>
        <w:t>, p. 4.</w:t>
      </w:r>
    </w:p>
    <w:p w:rsidR="0023156D" w:rsidRDefault="0023156D" w:rsidP="006E6FC3">
      <w:pPr>
        <w:pStyle w:val="FootnoteText"/>
      </w:pPr>
    </w:p>
    <w:p w:rsidR="0023156D" w:rsidRDefault="0023156D" w:rsidP="006E6FC3">
      <w:pPr>
        <w:pStyle w:val="FootnoteText"/>
      </w:pPr>
    </w:p>
  </w:footnote>
  <w:footnote w:id="3">
    <w:p w:rsidR="00335735" w:rsidRPr="006E6FC3" w:rsidRDefault="00335735" w:rsidP="006E6FC3">
      <w:pPr>
        <w:pStyle w:val="NormalWeb"/>
        <w:spacing w:before="0" w:beforeAutospacing="0" w:after="0" w:afterAutospacing="0"/>
        <w:rPr>
          <w:rFonts w:eastAsia="MS Mincho"/>
          <w:sz w:val="20"/>
          <w:szCs w:val="20"/>
          <w:lang w:eastAsia="ja-JP"/>
        </w:rPr>
      </w:pPr>
      <w:r>
        <w:rPr>
          <w:rStyle w:val="FootnoteReference"/>
        </w:rPr>
        <w:footnoteRef/>
      </w:r>
      <w:r w:rsidRPr="006E6FC3">
        <w:rPr>
          <w:rFonts w:eastAsia="MS Mincho"/>
          <w:sz w:val="20"/>
          <w:szCs w:val="20"/>
          <w:lang w:eastAsia="ja-JP"/>
        </w:rPr>
        <w:t>The “Big-6” business systems categories</w:t>
      </w:r>
      <w:r>
        <w:rPr>
          <w:rFonts w:eastAsia="MS Mincho"/>
          <w:sz w:val="20"/>
          <w:szCs w:val="20"/>
          <w:lang w:eastAsia="ja-JP"/>
        </w:rPr>
        <w:t xml:space="preserve"> for INGOs</w:t>
      </w:r>
      <w:r w:rsidRPr="006E6FC3">
        <w:rPr>
          <w:rFonts w:eastAsia="MS Mincho"/>
          <w:sz w:val="20"/>
          <w:szCs w:val="20"/>
          <w:lang w:eastAsia="ja-JP"/>
        </w:rPr>
        <w:t xml:space="preserve"> are Donor (and Volunteer) Management, Financial Management, HR Information, Program Management, Knowledge Management (including eLearning and Collaboration</w:t>
      </w:r>
      <w:r>
        <w:rPr>
          <w:rFonts w:eastAsia="MS Mincho"/>
          <w:sz w:val="20"/>
          <w:szCs w:val="20"/>
          <w:lang w:eastAsia="ja-JP"/>
        </w:rPr>
        <w:t>)</w:t>
      </w:r>
      <w:r w:rsidRPr="006E6FC3">
        <w:rPr>
          <w:rFonts w:eastAsia="MS Mincho"/>
          <w:sz w:val="20"/>
          <w:szCs w:val="20"/>
          <w:lang w:eastAsia="ja-JP"/>
        </w:rPr>
        <w:t>, and Supply Chain M</w:t>
      </w:r>
      <w:r w:rsidRPr="006E6FC3">
        <w:rPr>
          <w:rFonts w:eastAsia="MS Mincho" w:hint="eastAsia"/>
          <w:sz w:val="20"/>
          <w:szCs w:val="20"/>
          <w:lang w:eastAsia="ja-JP"/>
        </w:rPr>
        <w:t>anagement</w:t>
      </w:r>
      <w:r w:rsidRPr="006E6FC3">
        <w:rPr>
          <w:rFonts w:eastAsia="MS Mincho"/>
          <w:sz w:val="20"/>
          <w:szCs w:val="20"/>
          <w:lang w:eastAsia="ja-JP"/>
        </w:rPr>
        <w:t xml:space="preserve"> (inc</w:t>
      </w:r>
      <w:r>
        <w:rPr>
          <w:rFonts w:eastAsia="MS Mincho"/>
          <w:sz w:val="20"/>
          <w:szCs w:val="20"/>
          <w:lang w:eastAsia="ja-JP"/>
        </w:rPr>
        <w:t>l</w:t>
      </w:r>
      <w:r w:rsidRPr="006E6FC3">
        <w:rPr>
          <w:rFonts w:eastAsia="MS Mincho"/>
          <w:sz w:val="20"/>
          <w:szCs w:val="20"/>
          <w:lang w:eastAsia="ja-JP"/>
        </w:rPr>
        <w:t>uding Logistics and Disaster Management)</w:t>
      </w:r>
    </w:p>
  </w:footnote>
  <w:footnote w:id="4">
    <w:p w:rsidR="00335735" w:rsidRPr="00F80534" w:rsidRDefault="00335735" w:rsidP="006E6FC3">
      <w:pPr>
        <w:pStyle w:val="FootnoteText"/>
        <w:rPr>
          <w:rFonts w:ascii="Times New Roman" w:hAnsi="Times New Roman"/>
        </w:rPr>
      </w:pPr>
      <w:r>
        <w:rPr>
          <w:rStyle w:val="FootnoteReference"/>
        </w:rPr>
        <w:footnoteRef/>
      </w:r>
      <w:r w:rsidRPr="008A0B4C">
        <w:rPr>
          <w:rFonts w:ascii="Times New Roman" w:hAnsi="Times New Roman"/>
        </w:rPr>
        <w:t xml:space="preserve">For NetHope background, see </w:t>
      </w:r>
      <w:hyperlink r:id="rId1" w:history="1">
        <w:r w:rsidRPr="008A0B4C">
          <w:rPr>
            <w:rStyle w:val="Hyperlink"/>
            <w:rFonts w:ascii="Times New Roman" w:hAnsi="Times New Roman"/>
          </w:rPr>
          <w:t>http://www.nethope.org/about.html</w:t>
        </w:r>
      </w:hyperlink>
      <w:r w:rsidRPr="008A0B4C">
        <w:rPr>
          <w:rFonts w:ascii="Times New Roman" w:hAnsi="Times New Roman"/>
        </w:rPr>
        <w:t xml:space="preserve"> .</w:t>
      </w:r>
      <w:r>
        <w:rPr>
          <w:rFonts w:ascii="Times New Roman" w:hAnsi="Times New Roman"/>
        </w:rPr>
        <w:t xml:space="preserve"> I co-founded NetHope with Dipak Basu, a Cisco Fellow, in 2001 and continue serve as its chairman. Also see the original vision</w:t>
      </w:r>
      <w:r w:rsidRPr="00A67B4D">
        <w:rPr>
          <w:rFonts w:ascii="Times New Roman" w:hAnsi="Times New Roman"/>
        </w:rPr>
        <w:t xml:space="preserve"> paper </w:t>
      </w:r>
      <w:r>
        <w:rPr>
          <w:rFonts w:ascii="Times New Roman" w:hAnsi="Times New Roman"/>
        </w:rPr>
        <w:t xml:space="preserve">I authored </w:t>
      </w:r>
      <w:r w:rsidRPr="00A67B4D">
        <w:rPr>
          <w:rFonts w:ascii="Times New Roman" w:hAnsi="Times New Roman"/>
        </w:rPr>
        <w:t xml:space="preserve">that </w:t>
      </w:r>
      <w:r>
        <w:rPr>
          <w:rFonts w:ascii="Times New Roman" w:hAnsi="Times New Roman"/>
        </w:rPr>
        <w:t xml:space="preserve">engendered NetHope, appropriately titled “Wiring the Global Village” on my website, here: </w:t>
      </w:r>
      <w:hyperlink r:id="rId2" w:history="1">
        <w:r w:rsidRPr="005A6A7A">
          <w:rPr>
            <w:rStyle w:val="Hyperlink"/>
            <w:rFonts w:ascii="Times New Roman" w:hAnsi="Times New Roman"/>
          </w:rPr>
          <w:t>http://www.fairfieldreview.org/hpmd/EGHprofile.nsf/links/50A6</w:t>
        </w:r>
      </w:hyperlink>
      <w:r>
        <w:rPr>
          <w:rFonts w:ascii="Times New Roman" w:hAnsi="Times New Roman"/>
        </w:rPr>
        <w:t xml:space="preserve">  (under 2001 publications)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C42" w:rsidRPr="00764AF7" w:rsidRDefault="00764AF7" w:rsidP="00296C42">
    <w:pPr>
      <w:pStyle w:val="Header"/>
      <w:jc w:val="center"/>
      <w:rPr>
        <w:rFonts w:ascii="Arial" w:hAnsi="Arial" w:cs="Arial"/>
        <w:b/>
        <w:color w:val="FF0000"/>
        <w:sz w:val="24"/>
        <w:szCs w:val="24"/>
      </w:rPr>
    </w:pPr>
    <w:r w:rsidRPr="00764AF7">
      <w:rPr>
        <w:rFonts w:ascii="Arial" w:hAnsi="Arial" w:cs="Arial"/>
        <w:b/>
        <w:color w:val="FF0000"/>
        <w:sz w:val="24"/>
        <w:szCs w:val="24"/>
      </w:rPr>
      <w:t>DRAFT FOR DISCUSSION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0F3E"/>
    <w:multiLevelType w:val="hybridMultilevel"/>
    <w:tmpl w:val="3260E38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characterSpacingControl w:val="doNotCompress"/>
  <w:footnotePr>
    <w:footnote w:id="-1"/>
    <w:footnote w:id="0"/>
  </w:footnotePr>
  <w:endnotePr>
    <w:endnote w:id="-1"/>
    <w:endnote w:id="0"/>
  </w:endnotePr>
  <w:compat/>
  <w:rsids>
    <w:rsidRoot w:val="006E6FC3"/>
    <w:rsid w:val="00050B70"/>
    <w:rsid w:val="0023156D"/>
    <w:rsid w:val="00296C42"/>
    <w:rsid w:val="00335735"/>
    <w:rsid w:val="0036181A"/>
    <w:rsid w:val="00553F49"/>
    <w:rsid w:val="0064646F"/>
    <w:rsid w:val="006E6FC3"/>
    <w:rsid w:val="00742CB2"/>
    <w:rsid w:val="00764AF7"/>
    <w:rsid w:val="00771081"/>
    <w:rsid w:val="007967D6"/>
    <w:rsid w:val="009E20A3"/>
    <w:rsid w:val="00A6688D"/>
    <w:rsid w:val="00B843ED"/>
    <w:rsid w:val="00BC7FC5"/>
    <w:rsid w:val="00D1381E"/>
    <w:rsid w:val="00FC26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C3"/>
    <w:rPr>
      <w:rFonts w:ascii="Book Antiqua" w:eastAsia="MS Mincho" w:hAnsi="Book Antiqua"/>
      <w:sz w:val="22"/>
      <w:lang w:eastAsia="ja-JP"/>
    </w:rPr>
  </w:style>
  <w:style w:type="paragraph" w:styleId="Heading1">
    <w:name w:val="heading 1"/>
    <w:basedOn w:val="Normal"/>
    <w:next w:val="Normal"/>
    <w:link w:val="Heading1Char"/>
    <w:qFormat/>
    <w:rsid w:val="00A6688D"/>
    <w:pPr>
      <w:keepNext/>
      <w:spacing w:before="240" w:after="60"/>
      <w:outlineLvl w:val="0"/>
    </w:pPr>
    <w:rPr>
      <w:b/>
      <w:kern w:val="28"/>
      <w:sz w:val="28"/>
    </w:rPr>
  </w:style>
  <w:style w:type="paragraph" w:styleId="Heading2">
    <w:name w:val="heading 2"/>
    <w:basedOn w:val="Normal"/>
    <w:next w:val="Normal"/>
    <w:link w:val="Heading2Char"/>
    <w:qFormat/>
    <w:rsid w:val="00A6688D"/>
    <w:pPr>
      <w:keepNext/>
      <w:spacing w:before="240" w:after="60"/>
      <w:ind w:left="2880"/>
      <w:outlineLvl w:val="1"/>
    </w:pPr>
    <w:rPr>
      <w:i/>
      <w:sz w:val="24"/>
    </w:rPr>
  </w:style>
  <w:style w:type="paragraph" w:styleId="Heading3">
    <w:name w:val="heading 3"/>
    <w:basedOn w:val="Normal"/>
    <w:next w:val="Normal"/>
    <w:link w:val="Heading3Char"/>
    <w:qFormat/>
    <w:rsid w:val="00A6688D"/>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88D"/>
    <w:rPr>
      <w:b/>
      <w:kern w:val="28"/>
      <w:sz w:val="28"/>
    </w:rPr>
  </w:style>
  <w:style w:type="character" w:customStyle="1" w:styleId="Heading2Char">
    <w:name w:val="Heading 2 Char"/>
    <w:basedOn w:val="DefaultParagraphFont"/>
    <w:link w:val="Heading2"/>
    <w:rsid w:val="00A6688D"/>
    <w:rPr>
      <w:i/>
      <w:sz w:val="24"/>
    </w:rPr>
  </w:style>
  <w:style w:type="character" w:customStyle="1" w:styleId="Heading3Char">
    <w:name w:val="Heading 3 Char"/>
    <w:basedOn w:val="DefaultParagraphFont"/>
    <w:link w:val="Heading3"/>
    <w:rsid w:val="00A6688D"/>
    <w:rPr>
      <w:rFonts w:ascii="Arial" w:hAnsi="Arial"/>
      <w:sz w:val="24"/>
    </w:rPr>
  </w:style>
  <w:style w:type="paragraph" w:styleId="Caption">
    <w:name w:val="caption"/>
    <w:basedOn w:val="Normal"/>
    <w:next w:val="Normal"/>
    <w:qFormat/>
    <w:rsid w:val="00A6688D"/>
    <w:pPr>
      <w:overflowPunct w:val="0"/>
      <w:autoSpaceDE w:val="0"/>
      <w:autoSpaceDN w:val="0"/>
      <w:adjustRightInd w:val="0"/>
      <w:textAlignment w:val="baseline"/>
    </w:pPr>
    <w:rPr>
      <w:rFonts w:ascii="Dutch 801 Roman" w:hAnsi="Dutch 801 Roman"/>
      <w:sz w:val="24"/>
    </w:rPr>
  </w:style>
  <w:style w:type="paragraph" w:styleId="FootnoteText">
    <w:name w:val="footnote text"/>
    <w:basedOn w:val="Normal"/>
    <w:link w:val="FootnoteTextChar"/>
    <w:semiHidden/>
    <w:rsid w:val="006E6FC3"/>
    <w:rPr>
      <w:sz w:val="20"/>
    </w:rPr>
  </w:style>
  <w:style w:type="character" w:customStyle="1" w:styleId="FootnoteTextChar">
    <w:name w:val="Footnote Text Char"/>
    <w:basedOn w:val="DefaultParagraphFont"/>
    <w:link w:val="FootnoteText"/>
    <w:semiHidden/>
    <w:rsid w:val="006E6FC3"/>
    <w:rPr>
      <w:rFonts w:ascii="Book Antiqua" w:eastAsia="MS Mincho" w:hAnsi="Book Antiqua"/>
      <w:lang w:eastAsia="ja-JP"/>
    </w:rPr>
  </w:style>
  <w:style w:type="character" w:styleId="FootnoteReference">
    <w:name w:val="footnote reference"/>
    <w:basedOn w:val="DefaultParagraphFont"/>
    <w:semiHidden/>
    <w:rsid w:val="006E6FC3"/>
    <w:rPr>
      <w:rFonts w:cs="Times New Roman"/>
      <w:vertAlign w:val="superscript"/>
    </w:rPr>
  </w:style>
  <w:style w:type="character" w:styleId="Hyperlink">
    <w:name w:val="Hyperlink"/>
    <w:basedOn w:val="DefaultParagraphFont"/>
    <w:rsid w:val="006E6FC3"/>
    <w:rPr>
      <w:rFonts w:cs="Times New Roman"/>
      <w:color w:val="0000FF"/>
      <w:u w:val="single"/>
    </w:rPr>
  </w:style>
  <w:style w:type="paragraph" w:styleId="BalloonText">
    <w:name w:val="Balloon Text"/>
    <w:basedOn w:val="Normal"/>
    <w:link w:val="BalloonTextChar"/>
    <w:uiPriority w:val="99"/>
    <w:semiHidden/>
    <w:unhideWhenUsed/>
    <w:rsid w:val="006E6FC3"/>
    <w:rPr>
      <w:rFonts w:ascii="Tahoma" w:hAnsi="Tahoma" w:cs="Tahoma"/>
      <w:sz w:val="16"/>
      <w:szCs w:val="16"/>
    </w:rPr>
  </w:style>
  <w:style w:type="character" w:customStyle="1" w:styleId="BalloonTextChar">
    <w:name w:val="Balloon Text Char"/>
    <w:basedOn w:val="DefaultParagraphFont"/>
    <w:link w:val="BalloonText"/>
    <w:uiPriority w:val="99"/>
    <w:semiHidden/>
    <w:rsid w:val="006E6FC3"/>
    <w:rPr>
      <w:rFonts w:ascii="Tahoma" w:eastAsia="MS Mincho" w:hAnsi="Tahoma" w:cs="Tahoma"/>
      <w:sz w:val="16"/>
      <w:szCs w:val="16"/>
      <w:lang w:eastAsia="ja-JP"/>
    </w:rPr>
  </w:style>
  <w:style w:type="paragraph" w:styleId="Header">
    <w:name w:val="header"/>
    <w:basedOn w:val="Normal"/>
    <w:link w:val="HeaderChar"/>
    <w:uiPriority w:val="99"/>
    <w:semiHidden/>
    <w:unhideWhenUsed/>
    <w:rsid w:val="006E6FC3"/>
    <w:pPr>
      <w:tabs>
        <w:tab w:val="center" w:pos="4680"/>
        <w:tab w:val="right" w:pos="9360"/>
      </w:tabs>
    </w:pPr>
  </w:style>
  <w:style w:type="character" w:customStyle="1" w:styleId="HeaderChar">
    <w:name w:val="Header Char"/>
    <w:basedOn w:val="DefaultParagraphFont"/>
    <w:link w:val="Header"/>
    <w:uiPriority w:val="99"/>
    <w:semiHidden/>
    <w:rsid w:val="006E6FC3"/>
    <w:rPr>
      <w:rFonts w:ascii="Book Antiqua" w:eastAsia="MS Mincho" w:hAnsi="Book Antiqua"/>
      <w:sz w:val="22"/>
      <w:lang w:eastAsia="ja-JP"/>
    </w:rPr>
  </w:style>
  <w:style w:type="paragraph" w:styleId="Footer">
    <w:name w:val="footer"/>
    <w:basedOn w:val="Normal"/>
    <w:link w:val="FooterChar"/>
    <w:uiPriority w:val="99"/>
    <w:unhideWhenUsed/>
    <w:rsid w:val="006E6FC3"/>
    <w:pPr>
      <w:tabs>
        <w:tab w:val="center" w:pos="4680"/>
        <w:tab w:val="right" w:pos="9360"/>
      </w:tabs>
    </w:pPr>
  </w:style>
  <w:style w:type="character" w:customStyle="1" w:styleId="FooterChar">
    <w:name w:val="Footer Char"/>
    <w:basedOn w:val="DefaultParagraphFont"/>
    <w:link w:val="Footer"/>
    <w:uiPriority w:val="99"/>
    <w:rsid w:val="006E6FC3"/>
    <w:rPr>
      <w:rFonts w:ascii="Book Antiqua" w:eastAsia="MS Mincho" w:hAnsi="Book Antiqua"/>
      <w:sz w:val="22"/>
      <w:lang w:eastAsia="ja-JP"/>
    </w:rPr>
  </w:style>
  <w:style w:type="paragraph" w:styleId="NormalWeb">
    <w:name w:val="Normal (Web)"/>
    <w:basedOn w:val="Normal"/>
    <w:uiPriority w:val="99"/>
    <w:unhideWhenUsed/>
    <w:rsid w:val="006E6FC3"/>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8985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airfieldreview.org/hpmd/EGHprofile.nsf/links/50A6" TargetMode="External"/><Relationship Id="rId1" Type="http://schemas.openxmlformats.org/officeDocument/2006/relationships/hyperlink" Target="http://www.nethope.org/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AE72-1A01-44AA-B2A9-395138D0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G. Happ</dc:creator>
  <cp:lastModifiedBy>daniele.wyss</cp:lastModifiedBy>
  <cp:revision>2</cp:revision>
  <dcterms:created xsi:type="dcterms:W3CDTF">2011-07-26T07:43:00Z</dcterms:created>
  <dcterms:modified xsi:type="dcterms:W3CDTF">2011-07-26T07:43:00Z</dcterms:modified>
</cp:coreProperties>
</file>