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DF" w:rsidRPr="006B1340" w:rsidRDefault="00BE2553" w:rsidP="00906C27">
      <w:pPr>
        <w:pStyle w:val="PlainText"/>
        <w:rPr>
          <w:b/>
          <w:bCs/>
          <w:sz w:val="28"/>
          <w:szCs w:val="24"/>
        </w:rPr>
      </w:pPr>
      <w:bookmarkStart w:id="0" w:name="_MailOriginal"/>
      <w:r>
        <w:rPr>
          <w:b/>
          <w:bCs/>
          <w:sz w:val="28"/>
          <w:szCs w:val="24"/>
        </w:rPr>
        <w:t>Think Paper</w:t>
      </w:r>
      <w:r w:rsidR="00143FAC">
        <w:rPr>
          <w:b/>
          <w:bCs/>
          <w:sz w:val="28"/>
          <w:szCs w:val="24"/>
        </w:rPr>
        <w:t xml:space="preserve"> 18</w:t>
      </w:r>
      <w:bookmarkStart w:id="1" w:name="_GoBack"/>
      <w:bookmarkEnd w:id="1"/>
      <w:r w:rsidR="001066DF" w:rsidRPr="006B1340">
        <w:rPr>
          <w:b/>
          <w:bCs/>
          <w:sz w:val="28"/>
          <w:szCs w:val="24"/>
        </w:rPr>
        <w:t xml:space="preserve">: Local </w:t>
      </w:r>
      <w:r w:rsidR="00906C27">
        <w:rPr>
          <w:b/>
          <w:bCs/>
          <w:sz w:val="28"/>
          <w:szCs w:val="24"/>
        </w:rPr>
        <w:t>Innovation</w:t>
      </w:r>
      <w:r w:rsidR="001066DF" w:rsidRPr="006B1340">
        <w:rPr>
          <w:b/>
          <w:bCs/>
          <w:sz w:val="28"/>
          <w:szCs w:val="24"/>
        </w:rPr>
        <w:t>, Shadow IT and World Disasters</w:t>
      </w:r>
    </w:p>
    <w:p w:rsidR="001066DF" w:rsidRDefault="001066DF" w:rsidP="001066DF">
      <w:pPr>
        <w:pStyle w:val="PlainText"/>
      </w:pPr>
      <w:r>
        <w:t>Edward G. Happ, IFRC, Global CIO</w:t>
      </w:r>
    </w:p>
    <w:p w:rsidR="001066DF" w:rsidRDefault="00757E50" w:rsidP="00757E50">
      <w:pPr>
        <w:pStyle w:val="PlainText"/>
      </w:pPr>
      <w:r>
        <w:t>September</w:t>
      </w:r>
      <w:r w:rsidR="001066DF">
        <w:t>, 2013</w:t>
      </w:r>
      <w:r>
        <w:t xml:space="preserve"> – Revision 2</w:t>
      </w:r>
    </w:p>
    <w:p w:rsidR="001066DF" w:rsidRDefault="001066DF" w:rsidP="001066DF">
      <w:pPr>
        <w:pStyle w:val="PlainText"/>
      </w:pPr>
    </w:p>
    <w:p w:rsidR="001066DF" w:rsidRDefault="001066DF" w:rsidP="001066DF">
      <w:pPr>
        <w:pStyle w:val="PlainText"/>
      </w:pPr>
    </w:p>
    <w:p w:rsidR="001066DF" w:rsidRDefault="009A670C" w:rsidP="005F61BD">
      <w:pPr>
        <w:pStyle w:val="PlainText"/>
      </w:pPr>
      <w:r w:rsidRPr="009A670C">
        <w:t xml:space="preserve">Local </w:t>
      </w:r>
      <w:r w:rsidR="005F61BD">
        <w:t>Innovation</w:t>
      </w:r>
      <w:r w:rsidRPr="009A670C">
        <w:t>, Shadow IT and World Disasters</w:t>
      </w:r>
      <w:r>
        <w:t xml:space="preserve">? </w:t>
      </w:r>
      <w:r w:rsidR="001066DF">
        <w:t xml:space="preserve">The common thread through these three may not be self-evident. </w:t>
      </w:r>
      <w:r w:rsidR="008C0232">
        <w:t>The short answer</w:t>
      </w:r>
      <w:r w:rsidR="00BE2553">
        <w:t xml:space="preserve"> is</w:t>
      </w:r>
      <w:r w:rsidR="008C0232">
        <w:t xml:space="preserve">: </w:t>
      </w:r>
      <w:r w:rsidR="004F7E0B">
        <w:t xml:space="preserve">when it comes to </w:t>
      </w:r>
      <w:r w:rsidR="008C0232">
        <w:t xml:space="preserve">technology </w:t>
      </w:r>
      <w:r w:rsidR="004F7E0B">
        <w:t xml:space="preserve">innovation, if we are standing still, we are falling farther behind. </w:t>
      </w:r>
      <w:r w:rsidR="00BE2553">
        <w:t xml:space="preserve">We need to harvest the field “discoveries” </w:t>
      </w:r>
      <w:r w:rsidR="00BE2553" w:rsidRPr="00832FC4">
        <w:rPr>
          <w:u w:val="single"/>
        </w:rPr>
        <w:t>and</w:t>
      </w:r>
      <w:r w:rsidR="00BE2553">
        <w:t xml:space="preserve"> make them robust enough to take to scale for a Federation-wide audience</w:t>
      </w:r>
      <w:r w:rsidR="00BE2553">
        <w:rPr>
          <w:rStyle w:val="FootnoteReference"/>
        </w:rPr>
        <w:footnoteReference w:id="1"/>
      </w:r>
      <w:r w:rsidR="00BE2553">
        <w:t>.</w:t>
      </w:r>
    </w:p>
    <w:p w:rsidR="001066DF" w:rsidRDefault="001066DF" w:rsidP="001066DF">
      <w:pPr>
        <w:pStyle w:val="PlainText"/>
      </w:pPr>
    </w:p>
    <w:p w:rsidR="001066DF" w:rsidRDefault="001066DF" w:rsidP="001066DF">
      <w:pPr>
        <w:pStyle w:val="PlainText"/>
        <w:rPr>
          <w:u w:val="single"/>
        </w:rPr>
      </w:pPr>
      <w:r>
        <w:rPr>
          <w:u w:val="single"/>
        </w:rPr>
        <w:t>The World Disasters Report</w:t>
      </w:r>
    </w:p>
    <w:p w:rsidR="001066DF" w:rsidRDefault="001066DF" w:rsidP="001066DF">
      <w:pPr>
        <w:pStyle w:val="PlainText"/>
      </w:pPr>
    </w:p>
    <w:p w:rsidR="009A670C" w:rsidRDefault="009A670C" w:rsidP="009A670C">
      <w:pPr>
        <w:pStyle w:val="PlainText"/>
      </w:pPr>
      <w:r>
        <w:t>The WDR for 2013 is focused on technology and the future of humanitarian action.  For technology strategy it is a call to arms. Three numbers from the report to consider:</w:t>
      </w:r>
    </w:p>
    <w:p w:rsidR="009A670C" w:rsidRDefault="009A670C" w:rsidP="009A670C">
      <w:pPr>
        <w:pStyle w:val="PlainText"/>
        <w:numPr>
          <w:ilvl w:val="0"/>
          <w:numId w:val="1"/>
        </w:numPr>
      </w:pPr>
      <w:r w:rsidRPr="009A670C">
        <w:rPr>
          <w:b/>
          <w:bCs/>
        </w:rPr>
        <w:t xml:space="preserve">29%: </w:t>
      </w:r>
      <w:r>
        <w:t xml:space="preserve"> of the 24 application categories, IFRC may count 7, in which we have done or are doing work. That's less than a third</w:t>
      </w:r>
      <w:r w:rsidR="006B1C1C">
        <w:rPr>
          <w:rStyle w:val="FootnoteReference"/>
        </w:rPr>
        <w:footnoteReference w:id="2"/>
      </w:r>
      <w:r>
        <w:t xml:space="preserve">. </w:t>
      </w:r>
    </w:p>
    <w:p w:rsidR="009A670C" w:rsidRDefault="008A54EE" w:rsidP="0018542C">
      <w:pPr>
        <w:pStyle w:val="PlainText"/>
        <w:numPr>
          <w:ilvl w:val="0"/>
          <w:numId w:val="1"/>
        </w:numPr>
      </w:pPr>
      <w:r w:rsidRPr="008A54EE">
        <w:rPr>
          <w:b/>
          <w:bCs/>
        </w:rPr>
        <w:t>50%:</w:t>
      </w:r>
      <w:r w:rsidR="009A670C">
        <w:t xml:space="preserve"> </w:t>
      </w:r>
      <w:r w:rsidR="00BC5B11">
        <w:t>of IFRC applications cited</w:t>
      </w:r>
      <w:r w:rsidR="0018542C">
        <w:t xml:space="preserve"> in the </w:t>
      </w:r>
      <w:r>
        <w:t>39</w:t>
      </w:r>
      <w:r w:rsidR="009A670C">
        <w:t xml:space="preserve"> sidebar "box" cases, IFRC reported on </w:t>
      </w:r>
      <w:r>
        <w:t>8</w:t>
      </w:r>
      <w:r w:rsidR="009A670C">
        <w:t xml:space="preserve"> applications</w:t>
      </w:r>
      <w:r>
        <w:t xml:space="preserve"> of which 4</w:t>
      </w:r>
      <w:r w:rsidR="009A670C">
        <w:t xml:space="preserve"> originated in the Field</w:t>
      </w:r>
      <w:r w:rsidR="00BE2553">
        <w:rPr>
          <w:rStyle w:val="FootnoteReference"/>
        </w:rPr>
        <w:footnoteReference w:id="3"/>
      </w:r>
      <w:r w:rsidR="009A670C">
        <w:t xml:space="preserve">, </w:t>
      </w:r>
    </w:p>
    <w:p w:rsidR="001066DF" w:rsidRDefault="009A670C" w:rsidP="00BC5B11">
      <w:pPr>
        <w:pStyle w:val="PlainText"/>
        <w:numPr>
          <w:ilvl w:val="0"/>
          <w:numId w:val="1"/>
        </w:numPr>
      </w:pPr>
      <w:r w:rsidRPr="009A670C">
        <w:rPr>
          <w:b/>
          <w:bCs/>
        </w:rPr>
        <w:t>68%:</w:t>
      </w:r>
      <w:r>
        <w:t xml:space="preserve"> of the 300 references in the report, over two-thirds are within the last 3 years.   The use of technology in field work has exploded. While IFRC has some notable cases, we are </w:t>
      </w:r>
      <w:r w:rsidR="00BC5B11">
        <w:t xml:space="preserve">easily surpassed </w:t>
      </w:r>
      <w:r>
        <w:t>by work done in other organizations.</w:t>
      </w:r>
      <w:r w:rsidR="006B1340">
        <w:rPr>
          <w:rStyle w:val="FootnoteReference"/>
        </w:rPr>
        <w:footnoteReference w:id="4"/>
      </w:r>
    </w:p>
    <w:p w:rsidR="001066DF" w:rsidRDefault="001066DF" w:rsidP="001066DF">
      <w:pPr>
        <w:pStyle w:val="PlainText"/>
      </w:pPr>
    </w:p>
    <w:p w:rsidR="00BC5B11" w:rsidRDefault="00BC5B11" w:rsidP="00832FC4">
      <w:pPr>
        <w:pStyle w:val="PlainText"/>
      </w:pPr>
      <w:r>
        <w:t>Two key questions from an IT perspective that the WDR poses</w:t>
      </w:r>
      <w:r w:rsidR="0018542C">
        <w:t xml:space="preserve"> for IFRC</w:t>
      </w:r>
      <w:r>
        <w:t xml:space="preserve">: </w:t>
      </w:r>
    </w:p>
    <w:p w:rsidR="0018542C" w:rsidRDefault="0018542C" w:rsidP="0018542C">
      <w:pPr>
        <w:pStyle w:val="PlainText"/>
        <w:numPr>
          <w:ilvl w:val="0"/>
          <w:numId w:val="2"/>
        </w:numPr>
      </w:pPr>
      <w:r>
        <w:t>Of the m</w:t>
      </w:r>
      <w:r w:rsidRPr="0018542C">
        <w:t xml:space="preserve">any of the in-country tech projects </w:t>
      </w:r>
      <w:r>
        <w:t xml:space="preserve">that </w:t>
      </w:r>
      <w:r w:rsidRPr="0018542C">
        <w:t>have launched since the Relief 2.0 report launched in early 2011</w:t>
      </w:r>
      <w:r>
        <w:t>, h</w:t>
      </w:r>
      <w:r w:rsidRPr="0018542C">
        <w:t xml:space="preserve">ow many new </w:t>
      </w:r>
      <w:r>
        <w:t>ones</w:t>
      </w:r>
      <w:r w:rsidRPr="0018542C">
        <w:t xml:space="preserve"> have launched at IFRC since then?</w:t>
      </w:r>
    </w:p>
    <w:p w:rsidR="0018542C" w:rsidRDefault="0018542C" w:rsidP="007D4E41">
      <w:pPr>
        <w:pStyle w:val="PlainText"/>
        <w:numPr>
          <w:ilvl w:val="0"/>
          <w:numId w:val="2"/>
        </w:numPr>
      </w:pPr>
      <w:r w:rsidRPr="0018542C">
        <w:t>What are we doing about this this report? What</w:t>
      </w:r>
      <w:r w:rsidR="007D4E41">
        <w:t xml:space="preserve"> are</w:t>
      </w:r>
      <w:r w:rsidRPr="0018542C">
        <w:t xml:space="preserve"> our action items of response to th</w:t>
      </w:r>
      <w:r>
        <w:t>e innovation challenges this report represents</w:t>
      </w:r>
      <w:r w:rsidRPr="0018542C">
        <w:t xml:space="preserve">? (See some thoughts </w:t>
      </w:r>
      <w:r>
        <w:t xml:space="preserve">in the conclusion, </w:t>
      </w:r>
      <w:r w:rsidRPr="0018542C">
        <w:t>below)</w:t>
      </w:r>
    </w:p>
    <w:p w:rsidR="00832FC4" w:rsidRDefault="00832FC4" w:rsidP="001066DF">
      <w:pPr>
        <w:pStyle w:val="PlainText"/>
      </w:pPr>
    </w:p>
    <w:p w:rsidR="0018542C" w:rsidRDefault="00832FC4" w:rsidP="00832FC4">
      <w:pPr>
        <w:pStyle w:val="PlainText"/>
      </w:pPr>
      <w:r>
        <w:t>In short, the WDR demands a response to IT innovations occurring in the Field and outside our organizational boundaries.</w:t>
      </w:r>
    </w:p>
    <w:p w:rsidR="00054F27" w:rsidRDefault="00054F27" w:rsidP="001066DF">
      <w:pPr>
        <w:pStyle w:val="PlainText"/>
        <w:rPr>
          <w:u w:val="single"/>
        </w:rPr>
      </w:pPr>
    </w:p>
    <w:p w:rsidR="001066DF" w:rsidRDefault="001066DF" w:rsidP="001066DF">
      <w:pPr>
        <w:pStyle w:val="PlainText"/>
        <w:rPr>
          <w:u w:val="single"/>
        </w:rPr>
      </w:pPr>
      <w:r>
        <w:rPr>
          <w:u w:val="single"/>
        </w:rPr>
        <w:t>Shadow IT</w:t>
      </w:r>
    </w:p>
    <w:p w:rsidR="001066DF" w:rsidRDefault="001066DF" w:rsidP="001066DF">
      <w:pPr>
        <w:pStyle w:val="PlainText"/>
      </w:pPr>
    </w:p>
    <w:p w:rsidR="00054F27" w:rsidRDefault="001066DF" w:rsidP="00054F27">
      <w:pPr>
        <w:pStyle w:val="PlainText"/>
      </w:pPr>
      <w:r>
        <w:t xml:space="preserve">Shadow IT </w:t>
      </w:r>
      <w:r w:rsidR="00164338">
        <w:t>can be described as the IT work done outside the IT department’s budget and knowledge</w:t>
      </w:r>
      <w:r w:rsidR="003C31FF">
        <w:rPr>
          <w:rStyle w:val="FootnoteReference"/>
        </w:rPr>
        <w:footnoteReference w:id="5"/>
      </w:r>
      <w:r w:rsidR="00C5613E">
        <w:t xml:space="preserve">. It </w:t>
      </w:r>
      <w:r w:rsidR="00054F27">
        <w:t xml:space="preserve">has been a long-standing issue at IFRC and </w:t>
      </w:r>
      <w:r w:rsidR="00C5613E">
        <w:t xml:space="preserve">represents </w:t>
      </w:r>
      <w:r w:rsidR="00164338">
        <w:t>an estimated</w:t>
      </w:r>
      <w:r w:rsidR="00C5613E">
        <w:t xml:space="preserve"> </w:t>
      </w:r>
      <w:r w:rsidR="00164338">
        <w:t>23%</w:t>
      </w:r>
      <w:r w:rsidR="00C5613E">
        <w:t xml:space="preserve"> </w:t>
      </w:r>
      <w:r>
        <w:t xml:space="preserve">of the IT </w:t>
      </w:r>
      <w:r w:rsidR="00C5613E">
        <w:t xml:space="preserve">application </w:t>
      </w:r>
      <w:r>
        <w:t>work done at IFRC</w:t>
      </w:r>
      <w:r w:rsidR="005B1A45">
        <w:t xml:space="preserve"> at an estimated cost of over 600,000 CHF per year</w:t>
      </w:r>
      <w:r w:rsidR="00C5613E">
        <w:rPr>
          <w:rStyle w:val="FootnoteReference"/>
        </w:rPr>
        <w:footnoteReference w:id="6"/>
      </w:r>
      <w:r>
        <w:t xml:space="preserve">.  </w:t>
      </w:r>
      <w:r w:rsidR="00054F27">
        <w:t xml:space="preserve">Two difference perspectives on Shadow IT </w:t>
      </w:r>
      <w:r w:rsidR="00054F27">
        <w:lastRenderedPageBreak/>
        <w:t>are that on the one hand “Shadow IT is considered by many an important source for innovation and such systems may turn out to be prototypes for future approved IT solutio</w:t>
      </w:r>
      <w:r w:rsidR="00E31F50">
        <w:t>ns” and on the other hand “... S</w:t>
      </w:r>
      <w:r w:rsidR="00054F27">
        <w:t>hadow IT solutions are not often in line with the organization's requirements for control, documentation, security, reliability, etc.”</w:t>
      </w:r>
      <w:r w:rsidR="00054F27">
        <w:rPr>
          <w:rStyle w:val="FootnoteReference"/>
        </w:rPr>
        <w:footnoteReference w:id="7"/>
      </w:r>
    </w:p>
    <w:p w:rsidR="00832FC4" w:rsidRDefault="00832FC4" w:rsidP="001066DF">
      <w:pPr>
        <w:pStyle w:val="PlainText"/>
      </w:pPr>
    </w:p>
    <w:p w:rsidR="00832FC4" w:rsidRDefault="002B0141" w:rsidP="00B25D17">
      <w:pPr>
        <w:pStyle w:val="PlainText"/>
      </w:pPr>
      <w:r>
        <w:t xml:space="preserve">On the use of innovative technology a recent IFRC survey is telling.  When asked in </w:t>
      </w:r>
      <w:r w:rsidR="00832FC4">
        <w:t>May 2012</w:t>
      </w:r>
      <w:r>
        <w:t xml:space="preserve">, IFRC users reported that </w:t>
      </w:r>
      <w:r w:rsidR="00832FC4">
        <w:t xml:space="preserve">nearly half either had or were planning to buy an Apple iPhone or iPad device to use for </w:t>
      </w:r>
      <w:r w:rsidR="00832FC4" w:rsidRPr="00832FC4">
        <w:t>email, calendar, social media and file sharing</w:t>
      </w:r>
      <w:r w:rsidR="00832FC4">
        <w:t xml:space="preserve">. </w:t>
      </w:r>
      <w:r>
        <w:t xml:space="preserve"> In the following year, r</w:t>
      </w:r>
      <w:r w:rsidR="00832FC4">
        <w:t>esearch into our provisioning of user</w:t>
      </w:r>
      <w:r>
        <w:t>-</w:t>
      </w:r>
      <w:r w:rsidR="00832FC4">
        <w:t>purchased devices with an IFRC-paid SIM chip indicated that 44% of all mobile users were using a non-standard device</w:t>
      </w:r>
      <w:r w:rsidR="00832FC4">
        <w:rPr>
          <w:rStyle w:val="FootnoteReference"/>
        </w:rPr>
        <w:footnoteReference w:id="8"/>
      </w:r>
      <w:r w:rsidR="00832FC4">
        <w:t xml:space="preserve">.  </w:t>
      </w:r>
      <w:r w:rsidR="00BE4140">
        <w:t>Bottom line</w:t>
      </w:r>
      <w:r w:rsidR="00DE50FD">
        <w:t>:</w:t>
      </w:r>
      <w:r w:rsidR="00BE4140">
        <w:t xml:space="preserve"> the Bring-Your-Own-Device (</w:t>
      </w:r>
      <w:r w:rsidR="00DE50FD">
        <w:t xml:space="preserve">BYOD) trend is </w:t>
      </w:r>
      <w:r w:rsidR="00BE4140">
        <w:t xml:space="preserve">not new to IFRC, further supporting non-IT department </w:t>
      </w:r>
      <w:r w:rsidR="00922755">
        <w:t xml:space="preserve">drivers for </w:t>
      </w:r>
      <w:r w:rsidR="00BE4140">
        <w:t>innovation.</w:t>
      </w:r>
      <w:r w:rsidR="00B25D17">
        <w:t xml:space="preserve">  It is important to note that the “open” approach to IT devices and applications at IFRC</w:t>
      </w:r>
      <w:r w:rsidR="00922755">
        <w:t xml:space="preserve"> that ISD champions</w:t>
      </w:r>
      <w:r w:rsidR="00B25D17">
        <w:t xml:space="preserve"> made this development possible.</w:t>
      </w:r>
    </w:p>
    <w:p w:rsidR="00DE50FD" w:rsidRDefault="00DE50FD" w:rsidP="00DE50FD">
      <w:pPr>
        <w:pStyle w:val="PlainText"/>
      </w:pPr>
    </w:p>
    <w:p w:rsidR="00DE50FD" w:rsidRDefault="00DE50FD" w:rsidP="00B25D17">
      <w:pPr>
        <w:pStyle w:val="PlainText"/>
      </w:pPr>
      <w:r>
        <w:t xml:space="preserve">Innovations notwithstanding, there are strong arguments against </w:t>
      </w:r>
      <w:r w:rsidR="00B25D17">
        <w:t>S</w:t>
      </w:r>
      <w:r>
        <w:t>hadow IT such as redundant projects (with duplicate time and costs</w:t>
      </w:r>
      <w:r w:rsidR="00922755">
        <w:t>, as high as 2.5M</w:t>
      </w:r>
      <w:r>
        <w:rPr>
          <w:rStyle w:val="FootnoteReference"/>
        </w:rPr>
        <w:footnoteReference w:id="9"/>
      </w:r>
      <w:r>
        <w:t>), divergent tech</w:t>
      </w:r>
      <w:r w:rsidR="002B0141">
        <w:t>nologies</w:t>
      </w:r>
      <w:r>
        <w:t xml:space="preserve">, </w:t>
      </w:r>
      <w:r w:rsidR="002B0141">
        <w:t xml:space="preserve">lack of </w:t>
      </w:r>
      <w:r>
        <w:t>integration</w:t>
      </w:r>
      <w:r w:rsidR="002B0141">
        <w:t xml:space="preserve"> and synergies among systems</w:t>
      </w:r>
      <w:r>
        <w:t xml:space="preserve">, </w:t>
      </w:r>
      <w:r w:rsidR="002B0141">
        <w:t xml:space="preserve">and </w:t>
      </w:r>
      <w:r>
        <w:t>long-term support</w:t>
      </w:r>
      <w:r w:rsidR="002B0141">
        <w:rPr>
          <w:rStyle w:val="FootnoteReference"/>
        </w:rPr>
        <w:footnoteReference w:id="10"/>
      </w:r>
      <w:r>
        <w:t xml:space="preserve">.  </w:t>
      </w:r>
    </w:p>
    <w:p w:rsidR="00832FC4" w:rsidRDefault="00832FC4" w:rsidP="00832FC4">
      <w:pPr>
        <w:pStyle w:val="PlainText"/>
      </w:pPr>
    </w:p>
    <w:p w:rsidR="00DE50FD" w:rsidRDefault="00DE50FD" w:rsidP="00DE50FD">
      <w:pPr>
        <w:pStyle w:val="PlainText"/>
      </w:pPr>
      <w:r>
        <w:t xml:space="preserve">The study of the Resource Mapping System (RMS) developed in the Asia Pacific Zone concluded that “the RMS application as it now stands deviates from our corporate IT standards and architecture and it (a) overlaps other projects (DRIS, SCM), (b) is not supportable long term, (c) will not scale well in the organization and (d) would not pass a systems audit.  As such this is a significant risk to the organization.”  </w:t>
      </w:r>
      <w:r w:rsidRPr="00B25D17">
        <w:rPr>
          <w:u w:val="single"/>
        </w:rPr>
        <w:t>However</w:t>
      </w:r>
      <w:r>
        <w:t>, the report went on to say “We want to endorse innovative applications and provide for their expanded use by IFRC and National Societies (NS) ...once the issues for scalability have been addressed.</w:t>
      </w:r>
      <w:r>
        <w:rPr>
          <w:rStyle w:val="FootnoteReference"/>
        </w:rPr>
        <w:footnoteReference w:id="11"/>
      </w:r>
      <w:r>
        <w:t>”</w:t>
      </w:r>
    </w:p>
    <w:p w:rsidR="00DE50FD" w:rsidRDefault="00DE50FD" w:rsidP="00DE50FD">
      <w:pPr>
        <w:pStyle w:val="PlainText"/>
      </w:pPr>
    </w:p>
    <w:p w:rsidR="00DE50FD" w:rsidRDefault="00B25D17" w:rsidP="005A1F72">
      <w:pPr>
        <w:pStyle w:val="PlainText"/>
      </w:pPr>
      <w:r>
        <w:t xml:space="preserve">The IFRC IT Steering Group (ITSG) supported the RMS report conclusions, noting the </w:t>
      </w:r>
      <w:r w:rsidRPr="00B25D17">
        <w:t xml:space="preserve">benefits and potential risks </w:t>
      </w:r>
      <w:r>
        <w:t xml:space="preserve">of </w:t>
      </w:r>
      <w:r w:rsidRPr="00B25D17">
        <w:t xml:space="preserve">Shadow IT, </w:t>
      </w:r>
      <w:r>
        <w:t xml:space="preserve">and the need to </w:t>
      </w:r>
      <w:r w:rsidRPr="00B25D17">
        <w:t>ensure that potential risks are managed</w:t>
      </w:r>
      <w:r>
        <w:t>.</w:t>
      </w:r>
      <w:r>
        <w:rPr>
          <w:rStyle w:val="FootnoteReference"/>
        </w:rPr>
        <w:footnoteReference w:id="12"/>
      </w:r>
      <w:r>
        <w:t xml:space="preserve">  The process endorsed by the ITSG had </w:t>
      </w:r>
      <w:r w:rsidR="00E31F50">
        <w:t>four</w:t>
      </w:r>
      <w:r>
        <w:t xml:space="preserve"> primary components: (a) consultation with the ISD department </w:t>
      </w:r>
      <w:r w:rsidR="00E31F50">
        <w:t xml:space="preserve">for medium or larger applications (greater than 50K CHF to develop) </w:t>
      </w:r>
      <w:r>
        <w:t>in the early stages when the application need is identified, (b) the use of a syst</w:t>
      </w:r>
      <w:r w:rsidR="00E31F50">
        <w:t xml:space="preserve">ems exception checklist to provide for non-standard solution, and (c) an routing of contracts and invoices with IT components from HR and Finance to ISD for </w:t>
      </w:r>
      <w:r w:rsidR="00E31F50">
        <w:lastRenderedPageBreak/>
        <w:t>review, and (d) ITSG oversight as needed.</w:t>
      </w:r>
      <w:r w:rsidR="005A1F72">
        <w:t xml:space="preserve">  Unfortunately, the recommendations for the RMS application have not been implemented and this may be a missed opportunity to provide a benchmark case for moving forward.</w:t>
      </w:r>
    </w:p>
    <w:p w:rsidR="00DE50FD" w:rsidRDefault="00DE50FD" w:rsidP="00832FC4">
      <w:pPr>
        <w:pStyle w:val="PlainText"/>
      </w:pPr>
    </w:p>
    <w:p w:rsidR="00A94195" w:rsidRDefault="00A94195" w:rsidP="00A94195">
      <w:pPr>
        <w:pStyle w:val="PlainText"/>
      </w:pPr>
    </w:p>
    <w:p w:rsidR="001066DF" w:rsidRDefault="005F61BD" w:rsidP="005F61BD">
      <w:pPr>
        <w:pStyle w:val="PlainText"/>
        <w:rPr>
          <w:u w:val="single"/>
        </w:rPr>
      </w:pPr>
      <w:r>
        <w:rPr>
          <w:u w:val="single"/>
        </w:rPr>
        <w:t xml:space="preserve">Local Innovation and </w:t>
      </w:r>
      <w:r w:rsidR="001066DF">
        <w:rPr>
          <w:u w:val="single"/>
        </w:rPr>
        <w:t>Sharing Apps</w:t>
      </w:r>
    </w:p>
    <w:p w:rsidR="001066DF" w:rsidRDefault="001066DF" w:rsidP="001066DF">
      <w:pPr>
        <w:pStyle w:val="PlainText"/>
      </w:pPr>
    </w:p>
    <w:p w:rsidR="00E31F50" w:rsidRDefault="00E31F50" w:rsidP="00063355">
      <w:pPr>
        <w:pStyle w:val="PlainText"/>
      </w:pPr>
      <w:r>
        <w:t xml:space="preserve">The WDR confirms that applications that are developed locally are meeting </w:t>
      </w:r>
      <w:r w:rsidR="008476EE">
        <w:t xml:space="preserve">some </w:t>
      </w:r>
      <w:r w:rsidR="00063355">
        <w:t>important</w:t>
      </w:r>
      <w:r>
        <w:t xml:space="preserve"> needs of programs </w:t>
      </w:r>
      <w:r w:rsidR="00922755">
        <w:t xml:space="preserve">at IFRC </w:t>
      </w:r>
      <w:r>
        <w:t xml:space="preserve">and National Societies.  Our Zone leaders have also </w:t>
      </w:r>
      <w:r w:rsidR="008476EE">
        <w:t xml:space="preserve">reported the benefits, and </w:t>
      </w:r>
      <w:r>
        <w:t xml:space="preserve">advocated for local applications.  The </w:t>
      </w:r>
      <w:r w:rsidR="001E32A3" w:rsidRPr="001E32A3">
        <w:t xml:space="preserve">question is </w:t>
      </w:r>
      <w:r w:rsidR="001E32A3" w:rsidRPr="001E32A3">
        <w:rPr>
          <w:i/>
          <w:iCs/>
        </w:rPr>
        <w:t>not</w:t>
      </w:r>
      <w:r w:rsidR="001E32A3" w:rsidRPr="001E32A3">
        <w:t xml:space="preserve"> how to stamp out S</w:t>
      </w:r>
      <w:r w:rsidR="001E32A3">
        <w:t>h</w:t>
      </w:r>
      <w:r w:rsidR="001E32A3" w:rsidRPr="001E32A3">
        <w:t>adow IT; it is rather how to harvest i</w:t>
      </w:r>
      <w:r w:rsidR="001E32A3">
        <w:t>t</w:t>
      </w:r>
      <w:r w:rsidR="001E32A3" w:rsidRPr="001E32A3">
        <w:t xml:space="preserve"> and build on it to get scalable so</w:t>
      </w:r>
      <w:r w:rsidR="001E32A3">
        <w:t xml:space="preserve">lutions </w:t>
      </w:r>
      <w:r w:rsidR="001E32A3" w:rsidRPr="001E32A3">
        <w:t>developed by those closest to the needs.</w:t>
      </w:r>
    </w:p>
    <w:p w:rsidR="001E32A3" w:rsidRDefault="001E32A3" w:rsidP="001E32A3">
      <w:pPr>
        <w:pStyle w:val="PlainText"/>
      </w:pPr>
    </w:p>
    <w:p w:rsidR="001E32A3" w:rsidRDefault="001E32A3" w:rsidP="00AD56B3">
      <w:pPr>
        <w:pStyle w:val="PlainText"/>
      </w:pPr>
      <w:r>
        <w:t xml:space="preserve">Provided the risks are mitigated, there are strong benefits to sharing applications that are developed locally.  In short, local innovation means </w:t>
      </w:r>
      <w:r w:rsidR="00AD56B3">
        <w:t xml:space="preserve">first </w:t>
      </w:r>
      <w:r>
        <w:t xml:space="preserve">that the </w:t>
      </w:r>
      <w:r w:rsidR="00AD56B3">
        <w:t>technology is “</w:t>
      </w:r>
      <w:r w:rsidR="00AD56B3" w:rsidRPr="00AD56B3">
        <w:t>already working somewhere; it leapfrogs over getting a new system to work</w:t>
      </w:r>
      <w:r w:rsidR="00AD56B3">
        <w:t>; t</w:t>
      </w:r>
      <w:r w:rsidR="00AD56B3" w:rsidRPr="00AD56B3">
        <w:t>he pilot has already been run. Second, some group has already adopted it; it doesn’t need to be sold. Third, it’s field-tested</w:t>
      </w:r>
      <w:r w:rsidR="00AD56B3">
        <w:t>; e</w:t>
      </w:r>
      <w:r w:rsidR="00AD56B3" w:rsidRPr="00AD56B3">
        <w:t>specially for international NGOs working in challenged rural settings, it works where technology is rare.</w:t>
      </w:r>
      <w:r w:rsidR="00AD56B3">
        <w:rPr>
          <w:rStyle w:val="FootnoteReference"/>
        </w:rPr>
        <w:footnoteReference w:id="13"/>
      </w:r>
      <w:r w:rsidR="00AD56B3">
        <w:t>”</w:t>
      </w:r>
    </w:p>
    <w:p w:rsidR="001E32A3" w:rsidRDefault="001E32A3" w:rsidP="001E32A3">
      <w:pPr>
        <w:pStyle w:val="PlainText"/>
      </w:pPr>
    </w:p>
    <w:p w:rsidR="001066DF" w:rsidRDefault="00AD56B3" w:rsidP="00AD56B3">
      <w:pPr>
        <w:pStyle w:val="PlainText"/>
      </w:pPr>
      <w:r w:rsidRPr="00922755">
        <w:rPr>
          <w:b/>
        </w:rPr>
        <w:t>So how do we move local applications to the regional and global stage?</w:t>
      </w:r>
      <w:r>
        <w:t xml:space="preserve">  Three things are required: </w:t>
      </w:r>
      <w:r w:rsidR="001066DF">
        <w:t>it needs to be sustainable, maintainable and supportable.</w:t>
      </w:r>
      <w:r>
        <w:t xml:space="preserve">  Let’s look at each:</w:t>
      </w:r>
    </w:p>
    <w:p w:rsidR="001066DF" w:rsidRDefault="001066DF" w:rsidP="001066DF">
      <w:pPr>
        <w:pStyle w:val="PlainText"/>
      </w:pPr>
    </w:p>
    <w:p w:rsidR="001066DF" w:rsidRDefault="001066DF" w:rsidP="00AD56B3">
      <w:pPr>
        <w:pStyle w:val="PlainText"/>
        <w:numPr>
          <w:ilvl w:val="0"/>
          <w:numId w:val="12"/>
        </w:numPr>
        <w:spacing w:after="240"/>
      </w:pPr>
      <w:r w:rsidRPr="00AD56B3">
        <w:rPr>
          <w:u w:val="single"/>
        </w:rPr>
        <w:t>Sustainable</w:t>
      </w:r>
      <w:r>
        <w:t xml:space="preserve">: Funding </w:t>
      </w:r>
      <w:r w:rsidR="00AD56B3">
        <w:t xml:space="preserve">is </w:t>
      </w:r>
      <w:r>
        <w:t xml:space="preserve">in place to scale and survive </w:t>
      </w:r>
      <w:r w:rsidR="00AD56B3">
        <w:t xml:space="preserve">developer and sponsor </w:t>
      </w:r>
      <w:r>
        <w:t>turnover</w:t>
      </w:r>
      <w:r w:rsidR="00AD56B3">
        <w:t>.</w:t>
      </w:r>
    </w:p>
    <w:p w:rsidR="001066DF" w:rsidRDefault="00AD56B3" w:rsidP="00AD56B3">
      <w:pPr>
        <w:pStyle w:val="PlainText"/>
        <w:numPr>
          <w:ilvl w:val="0"/>
          <w:numId w:val="12"/>
        </w:numPr>
        <w:spacing w:after="240"/>
      </w:pPr>
      <w:r w:rsidRPr="00AD56B3">
        <w:rPr>
          <w:u w:val="single"/>
        </w:rPr>
        <w:t>M</w:t>
      </w:r>
      <w:r w:rsidR="001066DF" w:rsidRPr="00AD56B3">
        <w:rPr>
          <w:u w:val="single"/>
        </w:rPr>
        <w:t>aintainable</w:t>
      </w:r>
      <w:r w:rsidR="001066DF">
        <w:t xml:space="preserve">: </w:t>
      </w:r>
      <w:r>
        <w:t xml:space="preserve">It has </w:t>
      </w:r>
      <w:r w:rsidR="001066DF">
        <w:t>the tech</w:t>
      </w:r>
      <w:r>
        <w:t>nology</w:t>
      </w:r>
      <w:r w:rsidR="001066DF">
        <w:t xml:space="preserve"> architecture, standards and integration to work in </w:t>
      </w:r>
      <w:r>
        <w:t>the IFRC applications</w:t>
      </w:r>
      <w:r w:rsidR="001066DF">
        <w:t xml:space="preserve"> ecosystem</w:t>
      </w:r>
    </w:p>
    <w:p w:rsidR="001066DF" w:rsidRDefault="00AD56B3" w:rsidP="00AD56B3">
      <w:pPr>
        <w:pStyle w:val="PlainText"/>
        <w:numPr>
          <w:ilvl w:val="0"/>
          <w:numId w:val="12"/>
        </w:numPr>
        <w:spacing w:after="240"/>
      </w:pPr>
      <w:r w:rsidRPr="00AD56B3">
        <w:rPr>
          <w:u w:val="single"/>
        </w:rPr>
        <w:t>S</w:t>
      </w:r>
      <w:r w:rsidR="001066DF" w:rsidRPr="00AD56B3">
        <w:rPr>
          <w:u w:val="single"/>
        </w:rPr>
        <w:t>upportable</w:t>
      </w:r>
      <w:r w:rsidR="001066DF">
        <w:t xml:space="preserve">: </w:t>
      </w:r>
      <w:r>
        <w:t xml:space="preserve">The </w:t>
      </w:r>
      <w:r w:rsidR="001066DF">
        <w:t>training and service  plan to support users</w:t>
      </w:r>
      <w:r>
        <w:t xml:space="preserve"> has been done before growing the base of users</w:t>
      </w:r>
    </w:p>
    <w:p w:rsidR="001066DF" w:rsidRDefault="00AD56B3" w:rsidP="00AD56B3">
      <w:pPr>
        <w:pStyle w:val="PlainText"/>
      </w:pPr>
      <w:r>
        <w:t xml:space="preserve">An important criteria to add to these </w:t>
      </w:r>
      <w:r w:rsidR="001066DF">
        <w:t xml:space="preserve">three </w:t>
      </w:r>
      <w:r>
        <w:t xml:space="preserve">are that the time and costs for the application </w:t>
      </w:r>
      <w:r w:rsidR="001066DF">
        <w:t>need to be locally affordable, not centrally.</w:t>
      </w:r>
      <w:r>
        <w:t xml:space="preserve">  This is in keeping with our National Society capacity building model.</w:t>
      </w:r>
    </w:p>
    <w:bookmarkEnd w:id="0"/>
    <w:p w:rsidR="00E31F50" w:rsidRDefault="00E31F50" w:rsidP="00E31F50">
      <w:pPr>
        <w:pStyle w:val="PlainText"/>
      </w:pPr>
    </w:p>
    <w:p w:rsidR="00AD56B3" w:rsidRDefault="00AD56B3" w:rsidP="00E31F50">
      <w:pPr>
        <w:pStyle w:val="PlainText"/>
      </w:pPr>
    </w:p>
    <w:p w:rsidR="0018542C" w:rsidRPr="0018542C" w:rsidRDefault="0018542C">
      <w:pPr>
        <w:spacing w:after="200" w:line="276" w:lineRule="auto"/>
        <w:rPr>
          <w:u w:val="single"/>
        </w:rPr>
      </w:pPr>
      <w:r w:rsidRPr="0018542C">
        <w:rPr>
          <w:u w:val="single"/>
        </w:rPr>
        <w:t>Conclusion</w:t>
      </w:r>
    </w:p>
    <w:p w:rsidR="0018542C" w:rsidRDefault="0018542C" w:rsidP="007D4E41">
      <w:pPr>
        <w:pStyle w:val="PlainText"/>
      </w:pPr>
      <w:r>
        <w:t>W</w:t>
      </w:r>
      <w:r w:rsidRPr="0018542C">
        <w:t xml:space="preserve">e need </w:t>
      </w:r>
      <w:r w:rsidR="00922755">
        <w:t xml:space="preserve">to </w:t>
      </w:r>
      <w:r w:rsidRPr="0018542C">
        <w:t xml:space="preserve">harvest and move local innovations forward and we need to ensure </w:t>
      </w:r>
      <w:r w:rsidR="00AD56B3">
        <w:t xml:space="preserve">technologies are sustainable, </w:t>
      </w:r>
      <w:r w:rsidRPr="0018542C">
        <w:t>integrate and work together.</w:t>
      </w:r>
      <w:r w:rsidR="00AD56B3">
        <w:t xml:space="preserve">  At the outset I asked what are</w:t>
      </w:r>
      <w:r w:rsidR="00AD56B3" w:rsidRPr="00AD56B3">
        <w:t xml:space="preserve"> our action items of response to the innovation challenges </w:t>
      </w:r>
      <w:r w:rsidR="007D4E41">
        <w:t>of the WDR report</w:t>
      </w:r>
      <w:r w:rsidR="00AD56B3" w:rsidRPr="00AD56B3">
        <w:t>?</w:t>
      </w:r>
      <w:r w:rsidR="007D4E41">
        <w:t xml:space="preserve">  Here are six potential responses</w:t>
      </w:r>
      <w:r w:rsidR="00757E50">
        <w:rPr>
          <w:rStyle w:val="FootnoteReference"/>
        </w:rPr>
        <w:footnoteReference w:id="14"/>
      </w:r>
      <w:r w:rsidR="007D4E41">
        <w:t xml:space="preserve">: </w:t>
      </w:r>
    </w:p>
    <w:p w:rsidR="0018542C" w:rsidRDefault="0018542C" w:rsidP="0018542C">
      <w:pPr>
        <w:pStyle w:val="PlainText"/>
      </w:pPr>
    </w:p>
    <w:p w:rsidR="009A567E" w:rsidRDefault="009A567E" w:rsidP="005A1F72">
      <w:pPr>
        <w:pStyle w:val="ListParagraph"/>
        <w:numPr>
          <w:ilvl w:val="0"/>
          <w:numId w:val="4"/>
        </w:numPr>
        <w:spacing w:after="200" w:line="276" w:lineRule="auto"/>
      </w:pPr>
      <w:r>
        <w:t>Laun</w:t>
      </w:r>
      <w:r w:rsidR="00432018">
        <w:t xml:space="preserve">ch an innovation fund now with </w:t>
      </w:r>
      <w:r w:rsidR="005A1F72">
        <w:t xml:space="preserve">NS </w:t>
      </w:r>
      <w:r>
        <w:t>and corporate matching to (a) pilot new field apps in each WDR category (b) scale up successful field apps like MEGA V, TERA, RMS</w:t>
      </w:r>
      <w:r w:rsidR="007D4E41">
        <w:t>,</w:t>
      </w:r>
      <w:r>
        <w:t xml:space="preserve"> RAMP, Serval, etc. </w:t>
      </w:r>
      <w:r w:rsidR="007D4E41">
        <w:t xml:space="preserve">to </w:t>
      </w:r>
      <w:r>
        <w:t>take the local apps to new countries  (</w:t>
      </w:r>
      <w:r w:rsidR="007D4E41">
        <w:t>For comparison, n</w:t>
      </w:r>
      <w:r>
        <w:t xml:space="preserve">ote the Humanitarian Innovation Initiative launched by USAID and DFID in Feb. 2013, with $15M fund for innovation </w:t>
      </w:r>
      <w:r w:rsidR="007D4E41">
        <w:t xml:space="preserve">( see </w:t>
      </w:r>
      <w:hyperlink r:id="rId9" w:history="1">
        <w:r w:rsidR="007D4E41" w:rsidRPr="00505821">
          <w:rPr>
            <w:rStyle w:val="Hyperlink"/>
          </w:rPr>
          <w:t>http://www.usaid.gov/news-information/press-releases/disaster-technology-us-and-uk-fund-humanitarian-innovation</w:t>
        </w:r>
      </w:hyperlink>
      <w:r w:rsidR="007D4E41">
        <w:t>)</w:t>
      </w:r>
      <w:r>
        <w:t xml:space="preserve"> </w:t>
      </w:r>
    </w:p>
    <w:p w:rsidR="009A567E" w:rsidRDefault="009A567E" w:rsidP="007D4E41">
      <w:pPr>
        <w:pStyle w:val="ListParagraph"/>
        <w:numPr>
          <w:ilvl w:val="0"/>
          <w:numId w:val="4"/>
        </w:numPr>
        <w:spacing w:after="200" w:line="276" w:lineRule="auto"/>
      </w:pPr>
      <w:r>
        <w:lastRenderedPageBreak/>
        <w:t>Create a humanitarian technology contest for mobile apps (to be launched at WDR release event).  (Note the Tech Challenge lessons learned in chap 7, box 7.6,</w:t>
      </w:r>
      <w:r w:rsidR="007D4E41">
        <w:t xml:space="preserve"> in the WDR</w:t>
      </w:r>
      <w:r>
        <w:t>)</w:t>
      </w:r>
    </w:p>
    <w:p w:rsidR="009A567E" w:rsidRDefault="009A567E" w:rsidP="005A1F72">
      <w:pPr>
        <w:pStyle w:val="ListParagraph"/>
        <w:numPr>
          <w:ilvl w:val="0"/>
          <w:numId w:val="4"/>
        </w:numPr>
        <w:spacing w:after="200" w:line="276" w:lineRule="auto"/>
      </w:pPr>
      <w:r>
        <w:t>Create a humanitarian technology R&amp;D</w:t>
      </w:r>
      <w:r w:rsidR="00432018">
        <w:t xml:space="preserve"> lab; bring the IT skills from </w:t>
      </w:r>
      <w:r w:rsidR="005A1F72">
        <w:t xml:space="preserve">NSs </w:t>
      </w:r>
      <w:r>
        <w:t>and Corp</w:t>
      </w:r>
      <w:r w:rsidR="007D4E41">
        <w:t>orations</w:t>
      </w:r>
      <w:r>
        <w:t xml:space="preserve"> as staff</w:t>
      </w:r>
      <w:r w:rsidR="007D4E41">
        <w:t>-</w:t>
      </w:r>
      <w:r>
        <w:t>on</w:t>
      </w:r>
      <w:r w:rsidR="007D4E41">
        <w:t>-</w:t>
      </w:r>
      <w:r>
        <w:t>loan</w:t>
      </w:r>
      <w:r w:rsidR="007D4E41">
        <w:t xml:space="preserve"> to</w:t>
      </w:r>
      <w:r>
        <w:t xml:space="preserve"> resource it</w:t>
      </w:r>
    </w:p>
    <w:p w:rsidR="009A567E" w:rsidRDefault="009A567E" w:rsidP="009A567E">
      <w:pPr>
        <w:pStyle w:val="ListParagraph"/>
        <w:numPr>
          <w:ilvl w:val="0"/>
          <w:numId w:val="4"/>
        </w:numPr>
        <w:spacing w:after="200" w:line="276" w:lineRule="auto"/>
      </w:pPr>
      <w:r>
        <w:t>Scale up the Technology Catalog.... Add research plus app</w:t>
      </w:r>
      <w:r w:rsidR="007D4E41">
        <w:t>lication</w:t>
      </w:r>
      <w:r>
        <w:t>s from the programs note</w:t>
      </w:r>
      <w:r w:rsidR="007D4E41">
        <w:t>d</w:t>
      </w:r>
      <w:r>
        <w:t xml:space="preserve"> in the </w:t>
      </w:r>
      <w:r w:rsidR="007D4E41">
        <w:t xml:space="preserve">WDR </w:t>
      </w:r>
      <w:r>
        <w:t xml:space="preserve">report </w:t>
      </w:r>
    </w:p>
    <w:p w:rsidR="009A567E" w:rsidRDefault="009A567E" w:rsidP="007D4E41">
      <w:pPr>
        <w:pStyle w:val="ListParagraph"/>
        <w:numPr>
          <w:ilvl w:val="0"/>
          <w:numId w:val="4"/>
        </w:numPr>
        <w:spacing w:after="200" w:line="276" w:lineRule="auto"/>
      </w:pPr>
      <w:r>
        <w:t xml:space="preserve">Scale up </w:t>
      </w:r>
      <w:r w:rsidR="007D4E41">
        <w:t xml:space="preserve">the </w:t>
      </w:r>
      <w:r>
        <w:t xml:space="preserve">Advisory Services unit to expand </w:t>
      </w:r>
      <w:r w:rsidR="007D4E41">
        <w:t xml:space="preserve">so it can </w:t>
      </w:r>
      <w:r>
        <w:t xml:space="preserve">advise and consult </w:t>
      </w:r>
      <w:r w:rsidR="007D4E41">
        <w:t xml:space="preserve">with </w:t>
      </w:r>
      <w:r>
        <w:t>NSs on new tech</w:t>
      </w:r>
      <w:r w:rsidR="007D4E41">
        <w:t>nology</w:t>
      </w:r>
      <w:r>
        <w:t xml:space="preserve"> (What to do after—and in parallel—to bridging the DD) </w:t>
      </w:r>
    </w:p>
    <w:p w:rsidR="007D4E41" w:rsidRDefault="009A567E" w:rsidP="009A567E">
      <w:pPr>
        <w:pStyle w:val="ListParagraph"/>
        <w:numPr>
          <w:ilvl w:val="0"/>
          <w:numId w:val="4"/>
        </w:numPr>
        <w:spacing w:after="200" w:line="276" w:lineRule="auto"/>
      </w:pPr>
      <w:r>
        <w:t>Team-up with Microsoft Imagine Cup, Intel Math &amp; Science awards, USAID Tech Challenge, etc. to offer internships for tech solutions to be scaled across NSs post-contest</w:t>
      </w:r>
    </w:p>
    <w:p w:rsidR="001066DF" w:rsidRDefault="007D4E41" w:rsidP="004925D8">
      <w:pPr>
        <w:spacing w:after="200" w:line="276" w:lineRule="auto"/>
      </w:pPr>
      <w:r>
        <w:t xml:space="preserve">During times of economic challenges, it may be difficult to act on a set of recommendations that require investment.  However, it is the smart organizations </w:t>
      </w:r>
      <w:r w:rsidR="00922755">
        <w:t>that</w:t>
      </w:r>
      <w:r>
        <w:t xml:space="preserve"> double-up on their most strategic projects so that when eco</w:t>
      </w:r>
      <w:r w:rsidR="004925D8">
        <w:t>no</w:t>
      </w:r>
      <w:r>
        <w:t>mies turn, an organization can accelerate.</w:t>
      </w:r>
      <w:r>
        <w:rPr>
          <w:rStyle w:val="FootnoteReference"/>
        </w:rPr>
        <w:footnoteReference w:id="15"/>
      </w:r>
      <w:r w:rsidR="004925D8">
        <w:t xml:space="preserve">  It is a very strategic question to ask what business as usual projects can be deferred so that more strategic projects can be funded now.  If given the option, I would take 20% of the ISD projects budget and allocate it to the innovation fund and other recommendations, above.</w:t>
      </w:r>
      <w:r w:rsidR="00922755">
        <w:t xml:space="preserve">  What are the alternatives?  What does our collective imagination suggest?</w:t>
      </w:r>
    </w:p>
    <w:p w:rsidR="006B1C1C" w:rsidRDefault="006B1C1C">
      <w:pPr>
        <w:spacing w:after="200" w:line="276" w:lineRule="auto"/>
      </w:pPr>
    </w:p>
    <w:p w:rsidR="004925D8" w:rsidRDefault="004925D8">
      <w:pPr>
        <w:spacing w:after="200" w:line="276" w:lineRule="auto"/>
        <w:rPr>
          <w:rFonts w:asciiTheme="majorHAnsi" w:eastAsiaTheme="majorEastAsia" w:hAnsiTheme="majorHAnsi" w:cstheme="majorBidi"/>
          <w:b/>
          <w:bCs/>
          <w:color w:val="365F91" w:themeColor="accent1" w:themeShade="BF"/>
          <w:sz w:val="28"/>
          <w:szCs w:val="28"/>
        </w:rPr>
      </w:pPr>
      <w:r>
        <w:br w:type="page"/>
      </w:r>
    </w:p>
    <w:p w:rsidR="006B1C1C" w:rsidRDefault="006B1C1C" w:rsidP="006B1C1C">
      <w:pPr>
        <w:pStyle w:val="Heading1"/>
      </w:pPr>
      <w:r>
        <w:lastRenderedPageBreak/>
        <w:t>Appendix 1 – Technology Innovations and IFRC</w:t>
      </w:r>
    </w:p>
    <w:p w:rsidR="006B1C1C" w:rsidRDefault="006B1C1C" w:rsidP="006B1C1C"/>
    <w:p w:rsidR="006B1C1C" w:rsidRDefault="006B1C1C" w:rsidP="006B1C1C">
      <w:r w:rsidRPr="006B1C1C">
        <w:rPr>
          <w:noProof/>
        </w:rPr>
        <w:drawing>
          <wp:inline distT="0" distB="0" distL="0" distR="0" wp14:anchorId="793CAAA2" wp14:editId="276AFD5E">
            <wp:extent cx="5943600" cy="617015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170151"/>
                    </a:xfrm>
                    <a:prstGeom prst="rect">
                      <a:avLst/>
                    </a:prstGeom>
                    <a:noFill/>
                    <a:ln>
                      <a:noFill/>
                    </a:ln>
                  </pic:spPr>
                </pic:pic>
              </a:graphicData>
            </a:graphic>
          </wp:inline>
        </w:drawing>
      </w:r>
    </w:p>
    <w:p w:rsidR="006B1C1C" w:rsidRDefault="006B1C1C" w:rsidP="006B1C1C"/>
    <w:p w:rsidR="006B1C1C" w:rsidRDefault="006B1C1C" w:rsidP="006B1C1C">
      <w:r w:rsidRPr="00EE1910">
        <w:rPr>
          <w:i/>
          <w:iCs/>
        </w:rPr>
        <w:t>World Disaster Report 2013,</w:t>
      </w:r>
      <w:r w:rsidRPr="00EE1910">
        <w:t xml:space="preserve"> Table 1.1, Chapt</w:t>
      </w:r>
      <w:r>
        <w:t>er 1, p. 11; IFRC data added.</w:t>
      </w:r>
    </w:p>
    <w:p w:rsidR="006B1C1C" w:rsidRPr="00EE1910" w:rsidRDefault="006B1C1C" w:rsidP="006B1C1C"/>
    <w:p w:rsidR="006B1C1C" w:rsidRDefault="006B1C1C">
      <w:pPr>
        <w:spacing w:after="200" w:line="276" w:lineRule="auto"/>
      </w:pPr>
      <w:r>
        <w:br w:type="page"/>
      </w:r>
    </w:p>
    <w:p w:rsidR="00BE2553" w:rsidRDefault="00BE2553" w:rsidP="00BE2553"/>
    <w:p w:rsidR="00BE2553" w:rsidRPr="006B1340" w:rsidRDefault="00BE2553" w:rsidP="006B1C1C">
      <w:pPr>
        <w:pStyle w:val="Heading1"/>
      </w:pPr>
      <w:r w:rsidRPr="006B1340">
        <w:t xml:space="preserve">Appendix </w:t>
      </w:r>
      <w:r w:rsidR="00853B2A">
        <w:t>2</w:t>
      </w:r>
      <w:r w:rsidR="00853B2A" w:rsidRPr="006B1340">
        <w:t>:</w:t>
      </w:r>
      <w:r w:rsidRPr="006B1340">
        <w:t xml:space="preserve"> WDR </w:t>
      </w:r>
      <w:r>
        <w:t xml:space="preserve">Case </w:t>
      </w:r>
      <w:r w:rsidRPr="006B1340">
        <w:t>Statistics</w:t>
      </w:r>
      <w:r>
        <w:t xml:space="preserve"> - IFRC</w:t>
      </w:r>
    </w:p>
    <w:p w:rsidR="00BE2553" w:rsidRDefault="00BE2553">
      <w:pPr>
        <w:spacing w:after="200" w:line="276" w:lineRule="auto"/>
      </w:pPr>
    </w:p>
    <w:p w:rsidR="00BE2553" w:rsidRDefault="00BE2553">
      <w:pPr>
        <w:spacing w:after="200" w:line="276" w:lineRule="auto"/>
        <w:rPr>
          <w:rFonts w:ascii="Calibri" w:hAnsi="Calibri"/>
          <w:szCs w:val="21"/>
        </w:rPr>
      </w:pPr>
      <w:r w:rsidRPr="00BE2553">
        <w:rPr>
          <w:noProof/>
        </w:rPr>
        <w:drawing>
          <wp:inline distT="0" distB="0" distL="0" distR="0">
            <wp:extent cx="4641215" cy="13455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215" cy="1345565"/>
                    </a:xfrm>
                    <a:prstGeom prst="rect">
                      <a:avLst/>
                    </a:prstGeom>
                    <a:noFill/>
                    <a:ln>
                      <a:noFill/>
                    </a:ln>
                  </pic:spPr>
                </pic:pic>
              </a:graphicData>
            </a:graphic>
          </wp:inline>
        </w:drawing>
      </w:r>
    </w:p>
    <w:p w:rsidR="00BE2553" w:rsidRDefault="00BE2553" w:rsidP="00BE2553">
      <w:pPr>
        <w:pStyle w:val="Heading1"/>
      </w:pPr>
    </w:p>
    <w:p w:rsidR="001066DF" w:rsidRPr="006B1340" w:rsidRDefault="006B1340" w:rsidP="006B1C1C">
      <w:pPr>
        <w:pStyle w:val="Heading1"/>
      </w:pPr>
      <w:r w:rsidRPr="006B1340">
        <w:t xml:space="preserve">Appendix </w:t>
      </w:r>
      <w:r w:rsidR="00853B2A">
        <w:t>3</w:t>
      </w:r>
      <w:r w:rsidR="00853B2A" w:rsidRPr="006B1340">
        <w:t>:</w:t>
      </w:r>
      <w:r w:rsidRPr="006B1340">
        <w:t xml:space="preserve"> WDR Reference Statistics</w:t>
      </w:r>
    </w:p>
    <w:p w:rsidR="006B1340" w:rsidRDefault="006B1340" w:rsidP="001066DF">
      <w:pPr>
        <w:pStyle w:val="PlainText"/>
      </w:pPr>
    </w:p>
    <w:tbl>
      <w:tblPr>
        <w:tblW w:w="7586" w:type="dxa"/>
        <w:tblInd w:w="-15" w:type="dxa"/>
        <w:tblLook w:val="04A0" w:firstRow="1" w:lastRow="0" w:firstColumn="1" w:lastColumn="0" w:noHBand="0" w:noVBand="1"/>
      </w:tblPr>
      <w:tblGrid>
        <w:gridCol w:w="951"/>
        <w:gridCol w:w="1440"/>
        <w:gridCol w:w="995"/>
        <w:gridCol w:w="1008"/>
        <w:gridCol w:w="157"/>
        <w:gridCol w:w="803"/>
        <w:gridCol w:w="192"/>
        <w:gridCol w:w="1080"/>
        <w:gridCol w:w="960"/>
      </w:tblGrid>
      <w:tr w:rsidR="001066DF" w:rsidTr="001066DF">
        <w:trPr>
          <w:trHeight w:val="315"/>
        </w:trPr>
        <w:tc>
          <w:tcPr>
            <w:tcW w:w="5546" w:type="dxa"/>
            <w:gridSpan w:val="7"/>
            <w:noWrap/>
            <w:vAlign w:val="bottom"/>
            <w:hideMark/>
          </w:tcPr>
          <w:p w:rsidR="001066DF" w:rsidRDefault="001066DF">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World Disasters Report - 2013</w:t>
            </w:r>
          </w:p>
        </w:tc>
        <w:tc>
          <w:tcPr>
            <w:tcW w:w="1080" w:type="dxa"/>
            <w:noWrap/>
            <w:vAlign w:val="bottom"/>
            <w:hideMark/>
          </w:tcPr>
          <w:p w:rsidR="001066DF" w:rsidRDefault="001066DF"/>
        </w:tc>
        <w:tc>
          <w:tcPr>
            <w:tcW w:w="960" w:type="dxa"/>
            <w:noWrap/>
            <w:vAlign w:val="bottom"/>
            <w:hideMark/>
          </w:tcPr>
          <w:p w:rsidR="001066DF" w:rsidRDefault="001066DF"/>
        </w:tc>
      </w:tr>
      <w:tr w:rsidR="001066DF" w:rsidTr="001066DF">
        <w:trPr>
          <w:trHeight w:val="300"/>
        </w:trPr>
        <w:tc>
          <w:tcPr>
            <w:tcW w:w="4551" w:type="dxa"/>
            <w:gridSpan w:val="5"/>
            <w:noWrap/>
            <w:vAlign w:val="bottom"/>
            <w:hideMark/>
          </w:tcPr>
          <w:p w:rsidR="001066DF" w:rsidRDefault="001066DF">
            <w:pPr>
              <w:rPr>
                <w:rFonts w:ascii="Calibri" w:eastAsia="Times New Roman" w:hAnsi="Calibri" w:cs="Calibri"/>
                <w:color w:val="000000"/>
              </w:rPr>
            </w:pPr>
            <w:r>
              <w:rPr>
                <w:rFonts w:ascii="Calibri" w:eastAsia="Times New Roman" w:hAnsi="Calibri" w:cs="Calibri"/>
                <w:color w:val="000000"/>
              </w:rPr>
              <w:t>Reference Statistics</w:t>
            </w:r>
          </w:p>
        </w:tc>
        <w:tc>
          <w:tcPr>
            <w:tcW w:w="995" w:type="dxa"/>
            <w:gridSpan w:val="2"/>
            <w:noWrap/>
            <w:vAlign w:val="bottom"/>
            <w:hideMark/>
          </w:tcPr>
          <w:p w:rsidR="001066DF" w:rsidRDefault="001066DF"/>
        </w:tc>
        <w:tc>
          <w:tcPr>
            <w:tcW w:w="1080" w:type="dxa"/>
            <w:noWrap/>
            <w:vAlign w:val="bottom"/>
            <w:hideMark/>
          </w:tcPr>
          <w:p w:rsidR="001066DF" w:rsidRDefault="001066DF"/>
        </w:tc>
        <w:tc>
          <w:tcPr>
            <w:tcW w:w="960" w:type="dxa"/>
            <w:noWrap/>
            <w:vAlign w:val="bottom"/>
            <w:hideMark/>
          </w:tcPr>
          <w:p w:rsidR="001066DF" w:rsidRDefault="001066DF"/>
        </w:tc>
      </w:tr>
      <w:tr w:rsidR="001066DF" w:rsidTr="001066DF">
        <w:trPr>
          <w:trHeight w:val="300"/>
        </w:trPr>
        <w:tc>
          <w:tcPr>
            <w:tcW w:w="951" w:type="dxa"/>
            <w:noWrap/>
            <w:vAlign w:val="bottom"/>
            <w:hideMark/>
          </w:tcPr>
          <w:p w:rsidR="001066DF" w:rsidRDefault="001066DF"/>
        </w:tc>
        <w:tc>
          <w:tcPr>
            <w:tcW w:w="3600" w:type="dxa"/>
            <w:gridSpan w:val="4"/>
            <w:noWrap/>
            <w:vAlign w:val="bottom"/>
            <w:hideMark/>
          </w:tcPr>
          <w:p w:rsidR="001066DF" w:rsidRDefault="001066DF"/>
        </w:tc>
        <w:tc>
          <w:tcPr>
            <w:tcW w:w="995" w:type="dxa"/>
            <w:gridSpan w:val="2"/>
            <w:noWrap/>
            <w:vAlign w:val="bottom"/>
            <w:hideMark/>
          </w:tcPr>
          <w:p w:rsidR="001066DF" w:rsidRDefault="001066DF"/>
        </w:tc>
        <w:tc>
          <w:tcPr>
            <w:tcW w:w="1080" w:type="dxa"/>
            <w:noWrap/>
            <w:vAlign w:val="bottom"/>
            <w:hideMark/>
          </w:tcPr>
          <w:p w:rsidR="001066DF" w:rsidRDefault="001066DF"/>
        </w:tc>
        <w:tc>
          <w:tcPr>
            <w:tcW w:w="960" w:type="dxa"/>
            <w:noWrap/>
            <w:vAlign w:val="bottom"/>
            <w:hideMark/>
          </w:tcPr>
          <w:p w:rsidR="001066DF" w:rsidRDefault="001066DF"/>
        </w:tc>
      </w:tr>
      <w:tr w:rsidR="001066DF" w:rsidTr="001066DF">
        <w:trPr>
          <w:gridAfter w:val="3"/>
          <w:wAfter w:w="2232" w:type="dxa"/>
          <w:trHeight w:val="600"/>
        </w:trPr>
        <w:tc>
          <w:tcPr>
            <w:tcW w:w="951" w:type="dxa"/>
            <w:noWrap/>
            <w:vAlign w:val="bottom"/>
            <w:hideMark/>
          </w:tcPr>
          <w:p w:rsidR="001066DF" w:rsidRDefault="001066DF">
            <w:pPr>
              <w:jc w:val="center"/>
              <w:rPr>
                <w:rFonts w:ascii="Calibri" w:eastAsia="Times New Roman" w:hAnsi="Calibri" w:cs="Calibri"/>
                <w:b/>
                <w:bCs/>
                <w:color w:val="000000"/>
              </w:rPr>
            </w:pPr>
            <w:r>
              <w:rPr>
                <w:rFonts w:ascii="Calibri" w:eastAsia="Times New Roman" w:hAnsi="Calibri" w:cs="Calibri"/>
                <w:b/>
                <w:bCs/>
                <w:color w:val="000000"/>
              </w:rPr>
              <w:t>Chapter</w:t>
            </w:r>
          </w:p>
        </w:tc>
        <w:tc>
          <w:tcPr>
            <w:tcW w:w="1440" w:type="dxa"/>
            <w:noWrap/>
            <w:vAlign w:val="bottom"/>
            <w:hideMark/>
          </w:tcPr>
          <w:p w:rsidR="001066DF" w:rsidRDefault="001066DF">
            <w:pPr>
              <w:jc w:val="center"/>
              <w:rPr>
                <w:rFonts w:ascii="Calibri" w:eastAsia="Times New Roman" w:hAnsi="Calibri" w:cs="Calibri"/>
                <w:b/>
                <w:bCs/>
                <w:color w:val="000000"/>
              </w:rPr>
            </w:pPr>
            <w:r>
              <w:rPr>
                <w:rFonts w:ascii="Calibri" w:eastAsia="Times New Roman" w:hAnsi="Calibri" w:cs="Calibri"/>
                <w:b/>
                <w:bCs/>
                <w:color w:val="000000"/>
              </w:rPr>
              <w:t>References</w:t>
            </w:r>
          </w:p>
        </w:tc>
        <w:tc>
          <w:tcPr>
            <w:tcW w:w="995" w:type="dxa"/>
            <w:vAlign w:val="bottom"/>
            <w:hideMark/>
          </w:tcPr>
          <w:p w:rsidR="001066DF" w:rsidRDefault="001066DF">
            <w:pPr>
              <w:jc w:val="center"/>
              <w:rPr>
                <w:rFonts w:ascii="Calibri" w:eastAsia="Times New Roman" w:hAnsi="Calibri" w:cs="Calibri"/>
                <w:b/>
                <w:bCs/>
                <w:color w:val="000000"/>
              </w:rPr>
            </w:pPr>
            <w:r>
              <w:rPr>
                <w:rFonts w:ascii="Calibri" w:eastAsia="Times New Roman" w:hAnsi="Calibri" w:cs="Calibri"/>
                <w:b/>
                <w:bCs/>
                <w:color w:val="000000"/>
              </w:rPr>
              <w:t>Since April</w:t>
            </w:r>
            <w:r>
              <w:rPr>
                <w:rFonts w:ascii="Calibri" w:eastAsia="Times New Roman" w:hAnsi="Calibri" w:cs="Calibri"/>
                <w:b/>
                <w:bCs/>
                <w:color w:val="000000"/>
              </w:rPr>
              <w:br/>
              <w:t>2011 [1]</w:t>
            </w:r>
          </w:p>
        </w:tc>
        <w:tc>
          <w:tcPr>
            <w:tcW w:w="1008" w:type="dxa"/>
            <w:noWrap/>
            <w:vAlign w:val="bottom"/>
            <w:hideMark/>
          </w:tcPr>
          <w:p w:rsidR="001066DF" w:rsidRDefault="001066DF">
            <w:pPr>
              <w:jc w:val="center"/>
              <w:rPr>
                <w:rFonts w:ascii="Calibri" w:eastAsia="Times New Roman" w:hAnsi="Calibri" w:cs="Calibri"/>
                <w:b/>
                <w:bCs/>
                <w:color w:val="000000"/>
              </w:rPr>
            </w:pPr>
            <w:r>
              <w:rPr>
                <w:rFonts w:ascii="Calibri" w:eastAsia="Times New Roman" w:hAnsi="Calibri" w:cs="Calibri"/>
                <w:b/>
                <w:bCs/>
                <w:color w:val="000000"/>
              </w:rPr>
              <w:t>Pct "New"</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1</w:t>
            </w:r>
          </w:p>
        </w:tc>
        <w:tc>
          <w:tcPr>
            <w:tcW w:w="1440"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42</w:t>
            </w:r>
          </w:p>
        </w:tc>
        <w:tc>
          <w:tcPr>
            <w:tcW w:w="995"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28</w:t>
            </w:r>
          </w:p>
        </w:tc>
        <w:tc>
          <w:tcPr>
            <w:tcW w:w="1008" w:type="dxa"/>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67%</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2</w:t>
            </w:r>
          </w:p>
        </w:tc>
        <w:tc>
          <w:tcPr>
            <w:tcW w:w="1440"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39</w:t>
            </w:r>
          </w:p>
        </w:tc>
        <w:tc>
          <w:tcPr>
            <w:tcW w:w="995"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29</w:t>
            </w:r>
          </w:p>
        </w:tc>
        <w:tc>
          <w:tcPr>
            <w:tcW w:w="1008" w:type="dxa"/>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74%</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3</w:t>
            </w:r>
          </w:p>
        </w:tc>
        <w:tc>
          <w:tcPr>
            <w:tcW w:w="1440"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54</w:t>
            </w:r>
          </w:p>
        </w:tc>
        <w:tc>
          <w:tcPr>
            <w:tcW w:w="995"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39</w:t>
            </w:r>
          </w:p>
        </w:tc>
        <w:tc>
          <w:tcPr>
            <w:tcW w:w="1008" w:type="dxa"/>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72%</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4</w:t>
            </w:r>
          </w:p>
        </w:tc>
        <w:tc>
          <w:tcPr>
            <w:tcW w:w="1440"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43</w:t>
            </w:r>
          </w:p>
        </w:tc>
        <w:tc>
          <w:tcPr>
            <w:tcW w:w="995"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32</w:t>
            </w:r>
          </w:p>
        </w:tc>
        <w:tc>
          <w:tcPr>
            <w:tcW w:w="1008" w:type="dxa"/>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74%</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5</w:t>
            </w:r>
          </w:p>
        </w:tc>
        <w:tc>
          <w:tcPr>
            <w:tcW w:w="1440"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70</w:t>
            </w:r>
          </w:p>
        </w:tc>
        <w:tc>
          <w:tcPr>
            <w:tcW w:w="995"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49</w:t>
            </w:r>
          </w:p>
        </w:tc>
        <w:tc>
          <w:tcPr>
            <w:tcW w:w="1008" w:type="dxa"/>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70%</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6</w:t>
            </w:r>
          </w:p>
        </w:tc>
        <w:tc>
          <w:tcPr>
            <w:tcW w:w="1440"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37</w:t>
            </w:r>
          </w:p>
        </w:tc>
        <w:tc>
          <w:tcPr>
            <w:tcW w:w="995"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20</w:t>
            </w:r>
          </w:p>
        </w:tc>
        <w:tc>
          <w:tcPr>
            <w:tcW w:w="1008" w:type="dxa"/>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54%</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7</w:t>
            </w:r>
          </w:p>
        </w:tc>
        <w:tc>
          <w:tcPr>
            <w:tcW w:w="1440" w:type="dxa"/>
            <w:tcBorders>
              <w:top w:val="nil"/>
              <w:left w:val="nil"/>
              <w:bottom w:val="single" w:sz="4" w:space="0" w:color="auto"/>
              <w:right w:val="nil"/>
            </w:tcBorders>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15</w:t>
            </w:r>
          </w:p>
        </w:tc>
        <w:tc>
          <w:tcPr>
            <w:tcW w:w="995" w:type="dxa"/>
            <w:tcBorders>
              <w:top w:val="nil"/>
              <w:left w:val="nil"/>
              <w:bottom w:val="single" w:sz="4" w:space="0" w:color="auto"/>
              <w:right w:val="nil"/>
            </w:tcBorders>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8</w:t>
            </w:r>
          </w:p>
        </w:tc>
        <w:tc>
          <w:tcPr>
            <w:tcW w:w="1008" w:type="dxa"/>
            <w:tcBorders>
              <w:top w:val="nil"/>
              <w:left w:val="nil"/>
              <w:bottom w:val="single" w:sz="4" w:space="0" w:color="auto"/>
              <w:right w:val="nil"/>
            </w:tcBorders>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53%</w:t>
            </w:r>
          </w:p>
        </w:tc>
        <w:tc>
          <w:tcPr>
            <w:tcW w:w="960" w:type="dxa"/>
            <w:gridSpan w:val="2"/>
            <w:noWrap/>
            <w:vAlign w:val="bottom"/>
            <w:hideMark/>
          </w:tcPr>
          <w:p w:rsidR="001066DF" w:rsidRDefault="001066DF"/>
        </w:tc>
      </w:tr>
      <w:tr w:rsidR="001066DF" w:rsidTr="001066DF">
        <w:trPr>
          <w:gridAfter w:val="3"/>
          <w:wAfter w:w="2232" w:type="dxa"/>
          <w:trHeight w:val="300"/>
        </w:trPr>
        <w:tc>
          <w:tcPr>
            <w:tcW w:w="951" w:type="dxa"/>
            <w:noWrap/>
            <w:vAlign w:val="bottom"/>
            <w:hideMark/>
          </w:tcPr>
          <w:p w:rsidR="001066DF" w:rsidRDefault="001066DF">
            <w:pPr>
              <w:rPr>
                <w:rFonts w:ascii="Calibri" w:eastAsia="Times New Roman" w:hAnsi="Calibri" w:cs="Calibri"/>
                <w:color w:val="000000"/>
              </w:rPr>
            </w:pPr>
            <w:r>
              <w:rPr>
                <w:rFonts w:ascii="Calibri" w:eastAsia="Times New Roman" w:hAnsi="Calibri" w:cs="Calibri"/>
                <w:color w:val="000000"/>
              </w:rPr>
              <w:t>TOTAL</w:t>
            </w:r>
          </w:p>
        </w:tc>
        <w:tc>
          <w:tcPr>
            <w:tcW w:w="1440"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300</w:t>
            </w:r>
          </w:p>
        </w:tc>
        <w:tc>
          <w:tcPr>
            <w:tcW w:w="995" w:type="dxa"/>
            <w:noWrap/>
            <w:vAlign w:val="bottom"/>
            <w:hideMark/>
          </w:tcPr>
          <w:p w:rsidR="001066DF" w:rsidRDefault="001066DF">
            <w:pPr>
              <w:jc w:val="center"/>
              <w:rPr>
                <w:rFonts w:ascii="Calibri" w:eastAsia="Times New Roman" w:hAnsi="Calibri" w:cs="Calibri"/>
                <w:color w:val="000000"/>
              </w:rPr>
            </w:pPr>
            <w:r>
              <w:rPr>
                <w:rFonts w:ascii="Calibri" w:eastAsia="Times New Roman" w:hAnsi="Calibri" w:cs="Calibri"/>
                <w:color w:val="000000"/>
              </w:rPr>
              <w:t>205</w:t>
            </w:r>
          </w:p>
        </w:tc>
        <w:tc>
          <w:tcPr>
            <w:tcW w:w="1008" w:type="dxa"/>
            <w:noWrap/>
            <w:vAlign w:val="bottom"/>
            <w:hideMark/>
          </w:tcPr>
          <w:p w:rsidR="001066DF" w:rsidRDefault="001066DF">
            <w:pPr>
              <w:jc w:val="right"/>
              <w:rPr>
                <w:rFonts w:ascii="Calibri" w:eastAsia="Times New Roman" w:hAnsi="Calibri" w:cs="Calibri"/>
                <w:color w:val="000000"/>
              </w:rPr>
            </w:pPr>
            <w:r>
              <w:rPr>
                <w:rFonts w:ascii="Calibri" w:eastAsia="Times New Roman" w:hAnsi="Calibri" w:cs="Calibri"/>
                <w:color w:val="000000"/>
              </w:rPr>
              <w:t>68%</w:t>
            </w:r>
          </w:p>
        </w:tc>
        <w:tc>
          <w:tcPr>
            <w:tcW w:w="960" w:type="dxa"/>
            <w:gridSpan w:val="2"/>
            <w:noWrap/>
            <w:vAlign w:val="bottom"/>
            <w:hideMark/>
          </w:tcPr>
          <w:p w:rsidR="001066DF" w:rsidRDefault="001066DF"/>
        </w:tc>
      </w:tr>
      <w:tr w:rsidR="001066DF" w:rsidTr="001066DF">
        <w:trPr>
          <w:trHeight w:val="300"/>
        </w:trPr>
        <w:tc>
          <w:tcPr>
            <w:tcW w:w="951" w:type="dxa"/>
            <w:noWrap/>
            <w:vAlign w:val="bottom"/>
            <w:hideMark/>
          </w:tcPr>
          <w:p w:rsidR="001066DF" w:rsidRDefault="001066DF"/>
        </w:tc>
        <w:tc>
          <w:tcPr>
            <w:tcW w:w="3600" w:type="dxa"/>
            <w:gridSpan w:val="4"/>
            <w:noWrap/>
            <w:vAlign w:val="bottom"/>
            <w:hideMark/>
          </w:tcPr>
          <w:p w:rsidR="001066DF" w:rsidRDefault="001066DF"/>
        </w:tc>
        <w:tc>
          <w:tcPr>
            <w:tcW w:w="995" w:type="dxa"/>
            <w:gridSpan w:val="2"/>
            <w:noWrap/>
            <w:vAlign w:val="bottom"/>
            <w:hideMark/>
          </w:tcPr>
          <w:p w:rsidR="001066DF" w:rsidRDefault="001066DF"/>
        </w:tc>
        <w:tc>
          <w:tcPr>
            <w:tcW w:w="1080" w:type="dxa"/>
            <w:noWrap/>
            <w:vAlign w:val="bottom"/>
            <w:hideMark/>
          </w:tcPr>
          <w:p w:rsidR="001066DF" w:rsidRDefault="001066DF"/>
        </w:tc>
        <w:tc>
          <w:tcPr>
            <w:tcW w:w="960" w:type="dxa"/>
            <w:noWrap/>
            <w:vAlign w:val="bottom"/>
            <w:hideMark/>
          </w:tcPr>
          <w:p w:rsidR="001066DF" w:rsidRDefault="001066DF"/>
        </w:tc>
      </w:tr>
      <w:tr w:rsidR="001066DF" w:rsidTr="001066DF">
        <w:trPr>
          <w:trHeight w:val="570"/>
        </w:trPr>
        <w:tc>
          <w:tcPr>
            <w:tcW w:w="7586" w:type="dxa"/>
            <w:gridSpan w:val="9"/>
            <w:vAlign w:val="bottom"/>
            <w:hideMark/>
          </w:tcPr>
          <w:p w:rsidR="001066DF" w:rsidRDefault="001066DF">
            <w:pPr>
              <w:rPr>
                <w:rFonts w:ascii="Calibri" w:eastAsia="Times New Roman" w:hAnsi="Calibri" w:cs="Calibri"/>
                <w:color w:val="000000"/>
                <w:sz w:val="20"/>
                <w:szCs w:val="20"/>
              </w:rPr>
            </w:pPr>
            <w:r>
              <w:rPr>
                <w:rFonts w:ascii="Calibri" w:eastAsia="Times New Roman" w:hAnsi="Calibri" w:cs="Calibri"/>
                <w:color w:val="000000"/>
                <w:sz w:val="20"/>
                <w:szCs w:val="20"/>
              </w:rPr>
              <w:t>[1] The "Relief 2.0" report was published in April, 2011 and is a key milestone in technology an disaster response</w:t>
            </w:r>
          </w:p>
        </w:tc>
      </w:tr>
    </w:tbl>
    <w:p w:rsidR="001066DF" w:rsidRDefault="001066DF" w:rsidP="001066DF">
      <w:pPr>
        <w:pStyle w:val="PlainText"/>
        <w:rPr>
          <w:color w:val="000000"/>
        </w:rPr>
      </w:pPr>
    </w:p>
    <w:p w:rsidR="00BE2553" w:rsidRDefault="00BE2553">
      <w:pPr>
        <w:spacing w:after="200" w:line="276" w:lineRule="auto"/>
      </w:pPr>
      <w:r>
        <w:br w:type="page"/>
      </w:r>
    </w:p>
    <w:p w:rsidR="005141E1" w:rsidRDefault="002D4224" w:rsidP="005141E1">
      <w:pPr>
        <w:pStyle w:val="Heading1"/>
      </w:pPr>
      <w:r>
        <w:lastRenderedPageBreak/>
        <w:t xml:space="preserve">Appendix 4 - </w:t>
      </w:r>
      <w:r w:rsidR="005141E1">
        <w:t>ITSG Recommendations on Shadow IT</w:t>
      </w:r>
    </w:p>
    <w:p w:rsidR="005141E1" w:rsidRDefault="005141E1" w:rsidP="005141E1">
      <w:pPr>
        <w:pStyle w:val="PlainText"/>
        <w:rPr>
          <w:u w:val="single"/>
        </w:rPr>
      </w:pPr>
    </w:p>
    <w:p w:rsidR="005141E1" w:rsidRPr="005141E1" w:rsidRDefault="005141E1" w:rsidP="005141E1">
      <w:pPr>
        <w:pStyle w:val="PlainText"/>
        <w:rPr>
          <w:u w:val="single"/>
        </w:rPr>
      </w:pPr>
      <w:r w:rsidRPr="005141E1">
        <w:rPr>
          <w:u w:val="single"/>
        </w:rPr>
        <w:t>From the ITSG minutes for March 2012:</w:t>
      </w:r>
    </w:p>
    <w:p w:rsidR="005141E1" w:rsidRDefault="005141E1" w:rsidP="005141E1">
      <w:pPr>
        <w:pStyle w:val="PlainText"/>
      </w:pPr>
    </w:p>
    <w:p w:rsidR="005141E1" w:rsidRPr="005141E1" w:rsidRDefault="005141E1" w:rsidP="005141E1">
      <w:pPr>
        <w:tabs>
          <w:tab w:val="left" w:pos="567"/>
        </w:tabs>
        <w:rPr>
          <w:rFonts w:ascii="Calibri" w:hAnsi="Calibri"/>
          <w:bCs/>
          <w:i/>
        </w:rPr>
      </w:pPr>
      <w:r w:rsidRPr="005141E1">
        <w:rPr>
          <w:rFonts w:ascii="Calibri" w:hAnsi="Calibri"/>
          <w:b/>
          <w:iCs/>
        </w:rPr>
        <w:t>4.3</w:t>
      </w:r>
      <w:r>
        <w:rPr>
          <w:rFonts w:ascii="Calibri" w:hAnsi="Calibri"/>
          <w:bCs/>
          <w:i/>
        </w:rPr>
        <w:t xml:space="preserve">  </w:t>
      </w:r>
      <w:r>
        <w:rPr>
          <w:rFonts w:ascii="Calibri" w:hAnsi="Calibri"/>
          <w:bCs/>
          <w:i/>
        </w:rPr>
        <w:tab/>
      </w:r>
      <w:r w:rsidRPr="005141E1">
        <w:rPr>
          <w:rFonts w:ascii="Calibri" w:hAnsi="Calibri"/>
          <w:bCs/>
          <w:i/>
        </w:rPr>
        <w:t>Shadow IT and IT projects governance</w:t>
      </w:r>
    </w:p>
    <w:p w:rsidR="005141E1" w:rsidRPr="0011564D" w:rsidRDefault="005141E1" w:rsidP="005141E1">
      <w:pPr>
        <w:pStyle w:val="ListParagraph"/>
        <w:ind w:left="567"/>
        <w:rPr>
          <w:rFonts w:ascii="Calibri" w:hAnsi="Calibri"/>
          <w:b/>
          <w:bCs/>
        </w:rPr>
      </w:pPr>
      <w:r>
        <w:rPr>
          <w:rFonts w:ascii="Calibri" w:hAnsi="Calibri"/>
          <w:bCs/>
        </w:rPr>
        <w:t xml:space="preserve">EH presented the challenges of “Shadow IT” (IT initiatives commissioned and funded outside ISD).  It was noted that per the GSMT Roles and Responsibilities document (3-Nov-2010) that Geneva has the responsibility for setting standards and divergence from this is a long-term cost.  Nonetheless, there are both benefits and potential risks in Shadow IT, with the challenge to ensure that potential risks are managed. To this end three models were suggested by ISD being </w:t>
      </w:r>
      <w:r>
        <w:rPr>
          <w:rFonts w:ascii="Calibri" w:hAnsi="Calibri"/>
          <w:b/>
          <w:bCs/>
        </w:rPr>
        <w:t xml:space="preserve">i) </w:t>
      </w:r>
      <w:r>
        <w:rPr>
          <w:rFonts w:ascii="Calibri" w:hAnsi="Calibri"/>
          <w:bCs/>
        </w:rPr>
        <w:t xml:space="preserve">No Shadow IT; </w:t>
      </w:r>
      <w:r>
        <w:rPr>
          <w:rFonts w:ascii="Calibri" w:hAnsi="Calibri"/>
          <w:b/>
          <w:bCs/>
        </w:rPr>
        <w:t xml:space="preserve">ii) </w:t>
      </w:r>
      <w:r>
        <w:rPr>
          <w:rFonts w:ascii="Calibri" w:hAnsi="Calibri"/>
          <w:bCs/>
        </w:rPr>
        <w:t xml:space="preserve">ISD to review, advise and approve department funded projects; and </w:t>
      </w:r>
      <w:r>
        <w:rPr>
          <w:rFonts w:ascii="Calibri" w:hAnsi="Calibri"/>
          <w:b/>
          <w:bCs/>
        </w:rPr>
        <w:t xml:space="preserve">iii) </w:t>
      </w:r>
      <w:r>
        <w:rPr>
          <w:rFonts w:ascii="Calibri" w:hAnsi="Calibri"/>
          <w:bCs/>
        </w:rPr>
        <w:t>Departments fund ISD to do all projects.</w:t>
      </w:r>
    </w:p>
    <w:p w:rsidR="005141E1" w:rsidRDefault="005141E1" w:rsidP="005141E1">
      <w:pPr>
        <w:pStyle w:val="ListParagraph"/>
        <w:rPr>
          <w:rFonts w:ascii="Calibri" w:hAnsi="Calibri"/>
          <w:bCs/>
        </w:rPr>
      </w:pPr>
    </w:p>
    <w:p w:rsidR="005141E1" w:rsidRDefault="005141E1" w:rsidP="005141E1">
      <w:pPr>
        <w:pStyle w:val="ListParagraph"/>
        <w:ind w:left="567"/>
        <w:rPr>
          <w:rFonts w:ascii="Calibri" w:hAnsi="Calibri"/>
          <w:bCs/>
        </w:rPr>
      </w:pPr>
      <w:r>
        <w:rPr>
          <w:rFonts w:ascii="Calibri" w:hAnsi="Calibri"/>
          <w:bCs/>
        </w:rPr>
        <w:t xml:space="preserve">ISD proposed </w:t>
      </w:r>
      <w:r w:rsidRPr="008D5BC1">
        <w:rPr>
          <w:rFonts w:ascii="Calibri" w:hAnsi="Calibri"/>
          <w:b/>
          <w:bCs/>
        </w:rPr>
        <w:t>a)</w:t>
      </w:r>
      <w:r>
        <w:rPr>
          <w:rFonts w:ascii="Calibri" w:hAnsi="Calibri"/>
          <w:bCs/>
        </w:rPr>
        <w:t xml:space="preserve"> developing a standard framework; </w:t>
      </w:r>
      <w:r w:rsidRPr="008D5BC1">
        <w:rPr>
          <w:rFonts w:ascii="Calibri" w:hAnsi="Calibri"/>
          <w:b/>
          <w:bCs/>
        </w:rPr>
        <w:t>b)</w:t>
      </w:r>
      <w:r>
        <w:rPr>
          <w:rFonts w:ascii="Calibri" w:hAnsi="Calibri"/>
          <w:bCs/>
        </w:rPr>
        <w:t xml:space="preserve"> maintaining an IT Applications catalogue including all local solutions; </w:t>
      </w:r>
      <w:r w:rsidRPr="008D5BC1">
        <w:rPr>
          <w:rFonts w:ascii="Calibri" w:hAnsi="Calibri"/>
          <w:b/>
          <w:bCs/>
        </w:rPr>
        <w:t>c)</w:t>
      </w:r>
      <w:r>
        <w:rPr>
          <w:rFonts w:ascii="Calibri" w:hAnsi="Calibri"/>
          <w:bCs/>
        </w:rPr>
        <w:t xml:space="preserve"> developing a threshold (e</w:t>
      </w:r>
      <w:r w:rsidR="00B2220D">
        <w:rPr>
          <w:rFonts w:ascii="Calibri" w:hAnsi="Calibri"/>
          <w:bCs/>
        </w:rPr>
        <w:t>.</w:t>
      </w:r>
      <w:r>
        <w:rPr>
          <w:rFonts w:ascii="Calibri" w:hAnsi="Calibri"/>
          <w:bCs/>
        </w:rPr>
        <w:t>g. &gt;CHF30K) beyond which investment is to be reviewed by ISD and ITSG.</w:t>
      </w:r>
    </w:p>
    <w:p w:rsidR="005141E1" w:rsidRDefault="005141E1" w:rsidP="005141E1">
      <w:pPr>
        <w:pStyle w:val="ListParagraph"/>
        <w:ind w:left="567"/>
        <w:rPr>
          <w:rFonts w:ascii="Calibri" w:hAnsi="Calibri"/>
          <w:bCs/>
        </w:rPr>
      </w:pPr>
    </w:p>
    <w:p w:rsidR="005141E1" w:rsidRDefault="005141E1" w:rsidP="005141E1">
      <w:pPr>
        <w:pStyle w:val="ListParagraph"/>
        <w:ind w:left="567"/>
        <w:rPr>
          <w:rFonts w:ascii="Calibri" w:hAnsi="Calibri"/>
          <w:bCs/>
        </w:rPr>
      </w:pPr>
      <w:r>
        <w:rPr>
          <w:rFonts w:ascii="Calibri" w:hAnsi="Calibri"/>
          <w:bCs/>
        </w:rPr>
        <w:t>ITSG comments included the following</w:t>
      </w:r>
    </w:p>
    <w:p w:rsidR="005141E1" w:rsidRDefault="005141E1" w:rsidP="005141E1">
      <w:pPr>
        <w:pStyle w:val="ListParagraph"/>
        <w:numPr>
          <w:ilvl w:val="0"/>
          <w:numId w:val="8"/>
        </w:numPr>
        <w:tabs>
          <w:tab w:val="left" w:pos="993"/>
        </w:tabs>
        <w:ind w:left="993" w:hanging="426"/>
        <w:contextualSpacing w:val="0"/>
        <w:rPr>
          <w:rFonts w:ascii="Calibri" w:hAnsi="Calibri"/>
          <w:bCs/>
        </w:rPr>
      </w:pPr>
      <w:r>
        <w:rPr>
          <w:rFonts w:ascii="Calibri" w:hAnsi="Calibri"/>
          <w:bCs/>
        </w:rPr>
        <w:t xml:space="preserve">The proposal appears to address model </w:t>
      </w:r>
      <w:r>
        <w:rPr>
          <w:rFonts w:ascii="Calibri" w:hAnsi="Calibri"/>
          <w:b/>
          <w:bCs/>
        </w:rPr>
        <w:t>ii)</w:t>
      </w:r>
      <w:r>
        <w:rPr>
          <w:rFonts w:ascii="Calibri" w:hAnsi="Calibri"/>
          <w:bCs/>
        </w:rPr>
        <w:t xml:space="preserve"> above which was agreed by ITSG as the preferred option;</w:t>
      </w:r>
    </w:p>
    <w:p w:rsidR="005141E1" w:rsidRDefault="005141E1" w:rsidP="005141E1">
      <w:pPr>
        <w:pStyle w:val="ListParagraph"/>
        <w:numPr>
          <w:ilvl w:val="0"/>
          <w:numId w:val="8"/>
        </w:numPr>
        <w:tabs>
          <w:tab w:val="left" w:pos="993"/>
        </w:tabs>
        <w:ind w:left="993" w:hanging="426"/>
        <w:contextualSpacing w:val="0"/>
        <w:rPr>
          <w:rFonts w:ascii="Calibri" w:hAnsi="Calibri"/>
          <w:bCs/>
        </w:rPr>
      </w:pPr>
      <w:r w:rsidRPr="0011564D">
        <w:rPr>
          <w:rFonts w:ascii="Calibri" w:hAnsi="Calibri"/>
          <w:bCs/>
        </w:rPr>
        <w:t xml:space="preserve">Other departments (in addition to ISD) should </w:t>
      </w:r>
      <w:r>
        <w:rPr>
          <w:rFonts w:ascii="Calibri" w:hAnsi="Calibri"/>
          <w:bCs/>
        </w:rPr>
        <w:t xml:space="preserve">also </w:t>
      </w:r>
      <w:r w:rsidRPr="0011564D">
        <w:rPr>
          <w:rFonts w:ascii="Calibri" w:hAnsi="Calibri"/>
          <w:bCs/>
        </w:rPr>
        <w:t>be consulted in the process</w:t>
      </w:r>
      <w:r>
        <w:rPr>
          <w:rFonts w:ascii="Calibri" w:hAnsi="Calibri"/>
          <w:bCs/>
        </w:rPr>
        <w:t>.  ISD should coordinate this;</w:t>
      </w:r>
    </w:p>
    <w:p w:rsidR="005141E1" w:rsidRDefault="005141E1" w:rsidP="005141E1">
      <w:pPr>
        <w:pStyle w:val="ListParagraph"/>
        <w:numPr>
          <w:ilvl w:val="0"/>
          <w:numId w:val="8"/>
        </w:numPr>
        <w:tabs>
          <w:tab w:val="left" w:pos="993"/>
        </w:tabs>
        <w:ind w:left="993" w:hanging="426"/>
        <w:contextualSpacing w:val="0"/>
        <w:rPr>
          <w:rFonts w:ascii="Calibri" w:hAnsi="Calibri"/>
          <w:bCs/>
        </w:rPr>
      </w:pPr>
      <w:r>
        <w:rPr>
          <w:rFonts w:ascii="Calibri" w:hAnsi="Calibri"/>
          <w:bCs/>
        </w:rPr>
        <w:t>A checklist sh</w:t>
      </w:r>
      <w:r w:rsidRPr="0011564D">
        <w:rPr>
          <w:rFonts w:ascii="Calibri" w:hAnsi="Calibri"/>
          <w:bCs/>
        </w:rPr>
        <w:t xml:space="preserve">ould be developed in relation to </w:t>
      </w:r>
      <w:r w:rsidRPr="004D1BF9">
        <w:rPr>
          <w:rFonts w:ascii="Calibri" w:hAnsi="Calibri"/>
          <w:b/>
          <w:bCs/>
        </w:rPr>
        <w:t>a),</w:t>
      </w:r>
      <w:r w:rsidRPr="0011564D">
        <w:rPr>
          <w:rFonts w:ascii="Calibri" w:hAnsi="Calibri"/>
          <w:bCs/>
        </w:rPr>
        <w:t xml:space="preserve"> which would require ISD to review should certain criteria </w:t>
      </w:r>
      <w:r w:rsidRPr="0011564D">
        <w:rPr>
          <w:rFonts w:ascii="Calibri" w:hAnsi="Calibri"/>
          <w:bCs/>
          <w:u w:val="single"/>
        </w:rPr>
        <w:t>not</w:t>
      </w:r>
      <w:r w:rsidRPr="0011564D">
        <w:rPr>
          <w:rFonts w:ascii="Calibri" w:hAnsi="Calibri"/>
          <w:bCs/>
        </w:rPr>
        <w:t xml:space="preserve"> be met</w:t>
      </w:r>
      <w:r>
        <w:rPr>
          <w:rFonts w:ascii="Calibri" w:hAnsi="Calibri"/>
          <w:bCs/>
        </w:rPr>
        <w:t>;</w:t>
      </w:r>
    </w:p>
    <w:p w:rsidR="005141E1" w:rsidRDefault="005141E1" w:rsidP="005141E1">
      <w:pPr>
        <w:pStyle w:val="ListParagraph"/>
        <w:numPr>
          <w:ilvl w:val="0"/>
          <w:numId w:val="8"/>
        </w:numPr>
        <w:tabs>
          <w:tab w:val="left" w:pos="993"/>
        </w:tabs>
        <w:ind w:left="993" w:hanging="426"/>
        <w:contextualSpacing w:val="0"/>
        <w:rPr>
          <w:rFonts w:ascii="Calibri" w:hAnsi="Calibri"/>
          <w:bCs/>
        </w:rPr>
      </w:pPr>
      <w:r w:rsidRPr="0011564D">
        <w:rPr>
          <w:rFonts w:ascii="Calibri" w:hAnsi="Calibri"/>
          <w:bCs/>
        </w:rPr>
        <w:t>A finance threshold (e</w:t>
      </w:r>
      <w:r>
        <w:rPr>
          <w:rFonts w:ascii="Calibri" w:hAnsi="Calibri"/>
          <w:bCs/>
        </w:rPr>
        <w:t>.</w:t>
      </w:r>
      <w:r w:rsidRPr="0011564D">
        <w:rPr>
          <w:rFonts w:ascii="Calibri" w:hAnsi="Calibri"/>
          <w:bCs/>
        </w:rPr>
        <w:t xml:space="preserve">g. CHF30K) could be considered, but </w:t>
      </w:r>
      <w:r>
        <w:rPr>
          <w:rFonts w:ascii="Calibri" w:hAnsi="Calibri"/>
          <w:bCs/>
        </w:rPr>
        <w:t xml:space="preserve">this </w:t>
      </w:r>
      <w:r w:rsidRPr="0011564D">
        <w:rPr>
          <w:rFonts w:ascii="Calibri" w:hAnsi="Calibri"/>
          <w:bCs/>
        </w:rPr>
        <w:t>should not be the determining factor and other</w:t>
      </w:r>
      <w:r>
        <w:rPr>
          <w:rFonts w:ascii="Calibri" w:hAnsi="Calibri"/>
          <w:bCs/>
        </w:rPr>
        <w:t xml:space="preserve"> items</w:t>
      </w:r>
      <w:r w:rsidRPr="0011564D">
        <w:rPr>
          <w:rFonts w:ascii="Calibri" w:hAnsi="Calibri"/>
          <w:bCs/>
        </w:rPr>
        <w:t xml:space="preserve"> </w:t>
      </w:r>
      <w:r>
        <w:rPr>
          <w:rFonts w:ascii="Calibri" w:hAnsi="Calibri"/>
          <w:bCs/>
        </w:rPr>
        <w:t>(like the checklist) also need to be considered;</w:t>
      </w:r>
    </w:p>
    <w:p w:rsidR="005141E1" w:rsidRDefault="005141E1" w:rsidP="005141E1">
      <w:pPr>
        <w:pStyle w:val="ListParagraph"/>
        <w:numPr>
          <w:ilvl w:val="0"/>
          <w:numId w:val="8"/>
        </w:numPr>
        <w:tabs>
          <w:tab w:val="left" w:pos="993"/>
        </w:tabs>
        <w:ind w:left="993" w:hanging="426"/>
        <w:contextualSpacing w:val="0"/>
        <w:rPr>
          <w:rFonts w:ascii="Calibri" w:hAnsi="Calibri"/>
          <w:bCs/>
        </w:rPr>
      </w:pPr>
      <w:r w:rsidRPr="0011564D">
        <w:rPr>
          <w:rFonts w:ascii="Calibri" w:hAnsi="Calibri"/>
          <w:bCs/>
        </w:rPr>
        <w:t>The proposed criteria could be trialed and</w:t>
      </w:r>
      <w:r>
        <w:rPr>
          <w:rFonts w:ascii="Calibri" w:hAnsi="Calibri"/>
          <w:bCs/>
        </w:rPr>
        <w:t xml:space="preserve"> reevalu</w:t>
      </w:r>
      <w:r w:rsidRPr="0011564D">
        <w:rPr>
          <w:rFonts w:ascii="Calibri" w:hAnsi="Calibri"/>
          <w:bCs/>
        </w:rPr>
        <w:t>ated</w:t>
      </w:r>
    </w:p>
    <w:p w:rsidR="005141E1" w:rsidRDefault="005141E1" w:rsidP="005141E1">
      <w:pPr>
        <w:pStyle w:val="ListParagraph"/>
        <w:numPr>
          <w:ilvl w:val="0"/>
          <w:numId w:val="8"/>
        </w:numPr>
        <w:tabs>
          <w:tab w:val="left" w:pos="993"/>
        </w:tabs>
        <w:ind w:left="993" w:hanging="426"/>
        <w:contextualSpacing w:val="0"/>
        <w:rPr>
          <w:rFonts w:ascii="Calibri" w:hAnsi="Calibri"/>
          <w:bCs/>
        </w:rPr>
      </w:pPr>
      <w:r>
        <w:rPr>
          <w:rFonts w:ascii="Calibri" w:hAnsi="Calibri"/>
          <w:bCs/>
        </w:rPr>
        <w:t xml:space="preserve">Whether an inventory for all IT systems has </w:t>
      </w:r>
      <w:r w:rsidRPr="0011564D">
        <w:rPr>
          <w:rFonts w:ascii="Calibri" w:hAnsi="Calibri"/>
          <w:bCs/>
        </w:rPr>
        <w:t xml:space="preserve">been performed? ISD confirmed that Accenture has performed </w:t>
      </w:r>
      <w:r>
        <w:rPr>
          <w:rFonts w:ascii="Calibri" w:hAnsi="Calibri"/>
          <w:bCs/>
        </w:rPr>
        <w:t xml:space="preserve">such </w:t>
      </w:r>
      <w:r w:rsidRPr="0011564D">
        <w:rPr>
          <w:rFonts w:ascii="Calibri" w:hAnsi="Calibri"/>
          <w:bCs/>
        </w:rPr>
        <w:t>a review.</w:t>
      </w:r>
    </w:p>
    <w:p w:rsidR="005141E1" w:rsidRPr="0011564D" w:rsidRDefault="005141E1" w:rsidP="005141E1">
      <w:pPr>
        <w:pStyle w:val="ListParagraph"/>
        <w:numPr>
          <w:ilvl w:val="0"/>
          <w:numId w:val="8"/>
        </w:numPr>
        <w:tabs>
          <w:tab w:val="left" w:pos="993"/>
        </w:tabs>
        <w:ind w:left="993" w:hanging="426"/>
        <w:contextualSpacing w:val="0"/>
        <w:rPr>
          <w:rFonts w:ascii="Calibri" w:hAnsi="Calibri"/>
          <w:bCs/>
        </w:rPr>
      </w:pPr>
      <w:r>
        <w:rPr>
          <w:rFonts w:ascii="Calibri" w:hAnsi="Calibri"/>
          <w:bCs/>
        </w:rPr>
        <w:t>The IT Projects Governance draft was deferred to the next ITSG meeting; it should include the Shadow IT recommendations, above.</w:t>
      </w:r>
    </w:p>
    <w:p w:rsidR="005141E1" w:rsidRDefault="005141E1">
      <w:pPr>
        <w:spacing w:after="200" w:line="276" w:lineRule="auto"/>
      </w:pPr>
    </w:p>
    <w:p w:rsidR="005141E1" w:rsidRDefault="005141E1" w:rsidP="005141E1">
      <w:pPr>
        <w:pStyle w:val="PlainText"/>
      </w:pPr>
      <w:r w:rsidRPr="005141E1">
        <w:rPr>
          <w:u w:val="single"/>
        </w:rPr>
        <w:t>From the ITSG minutes for Nov. 2012 on the RMS Review Report</w:t>
      </w:r>
      <w:r>
        <w:t xml:space="preserve">: </w:t>
      </w:r>
    </w:p>
    <w:p w:rsidR="005141E1" w:rsidRDefault="005141E1" w:rsidP="005141E1">
      <w:pPr>
        <w:pStyle w:val="PlainText"/>
      </w:pPr>
    </w:p>
    <w:p w:rsidR="005141E1" w:rsidRDefault="005141E1" w:rsidP="005141E1">
      <w:pPr>
        <w:pStyle w:val="PlainText"/>
        <w:ind w:left="426"/>
      </w:pPr>
      <w:r>
        <w:t xml:space="preserve">“We reviewed Shadow IT during the July ITSG meeting (see item 4 in the minutes, which notes: “An Exception Checklist has been developed by ISD for local IT to follow including an on-line form to be used to formalise the process” and “The ITSG acknowledged the implementation of previous suggestions in the Quarter 2 ITSG meeting, and supported ISD’s approach to Shadow IT.” Further “…recommend we put forward the Exception Checklist as a requirement for all departments and the zones.” </w:t>
      </w:r>
    </w:p>
    <w:p w:rsidR="005141E1" w:rsidRDefault="005141E1" w:rsidP="005141E1">
      <w:pPr>
        <w:pStyle w:val="PlainText"/>
      </w:pPr>
    </w:p>
    <w:p w:rsidR="005141E1" w:rsidRPr="008B0F41" w:rsidRDefault="005141E1" w:rsidP="005141E1">
      <w:pPr>
        <w:pStyle w:val="ListParagraph"/>
        <w:spacing w:after="120"/>
        <w:ind w:left="426"/>
        <w:rPr>
          <w:rFonts w:ascii="Calibri" w:hAnsi="Calibri"/>
        </w:rPr>
      </w:pPr>
      <w:r w:rsidRPr="008B0F41">
        <w:rPr>
          <w:rFonts w:ascii="Calibri" w:hAnsi="Calibri"/>
          <w:b/>
        </w:rPr>
        <w:t xml:space="preserve">Comments by ITSG </w:t>
      </w:r>
      <w:r>
        <w:rPr>
          <w:rFonts w:ascii="Calibri" w:hAnsi="Calibri"/>
          <w:b/>
        </w:rPr>
        <w:t xml:space="preserve">[on RMS] </w:t>
      </w:r>
      <w:r w:rsidRPr="008B0F41">
        <w:rPr>
          <w:rFonts w:ascii="Calibri" w:hAnsi="Calibri"/>
          <w:b/>
        </w:rPr>
        <w:t>included:</w:t>
      </w:r>
    </w:p>
    <w:p w:rsidR="005141E1" w:rsidRDefault="005141E1" w:rsidP="005141E1">
      <w:pPr>
        <w:pStyle w:val="ListParagraph"/>
        <w:numPr>
          <w:ilvl w:val="0"/>
          <w:numId w:val="6"/>
        </w:numPr>
        <w:tabs>
          <w:tab w:val="left" w:pos="284"/>
        </w:tabs>
        <w:spacing w:after="120"/>
        <w:ind w:left="852" w:hanging="426"/>
        <w:contextualSpacing w:val="0"/>
        <w:outlineLvl w:val="0"/>
        <w:rPr>
          <w:rFonts w:ascii="Calibri" w:hAnsi="Calibri"/>
        </w:rPr>
      </w:pPr>
      <w:r w:rsidRPr="008B0F41">
        <w:rPr>
          <w:rFonts w:ascii="Calibri" w:hAnsi="Calibri"/>
        </w:rPr>
        <w:t>Recalling that the reason for this coming to the attention of ITSG was under the broader discussions earlier in the year relating to “Shadow” IT.  The ITSG reinforced the requirement for project proposals to be captured by ISD and if necessary, presented before the ITSG.</w:t>
      </w:r>
      <w:r>
        <w:rPr>
          <w:rFonts w:ascii="Calibri" w:hAnsi="Calibri"/>
        </w:rPr>
        <w:t xml:space="preserve"> </w:t>
      </w:r>
    </w:p>
    <w:p w:rsidR="005141E1" w:rsidRPr="007C3783" w:rsidRDefault="005141E1" w:rsidP="005141E1">
      <w:pPr>
        <w:pStyle w:val="ListParagraph"/>
        <w:numPr>
          <w:ilvl w:val="0"/>
          <w:numId w:val="6"/>
        </w:numPr>
        <w:tabs>
          <w:tab w:val="left" w:pos="284"/>
        </w:tabs>
        <w:spacing w:after="120"/>
        <w:ind w:left="852" w:hanging="426"/>
        <w:contextualSpacing w:val="0"/>
        <w:outlineLvl w:val="0"/>
        <w:rPr>
          <w:rFonts w:ascii="Calibri" w:hAnsi="Calibri"/>
          <w:b/>
          <w:i/>
        </w:rPr>
      </w:pPr>
      <w:r w:rsidRPr="007C3783">
        <w:rPr>
          <w:rFonts w:ascii="Calibri" w:hAnsi="Calibri"/>
          <w:b/>
          <w:i/>
        </w:rPr>
        <w:t>Recommended that a policy in relation to “Shadow IT” to be considered.</w:t>
      </w:r>
    </w:p>
    <w:p w:rsidR="005141E1" w:rsidRDefault="005141E1" w:rsidP="005141E1">
      <w:pPr>
        <w:pStyle w:val="ListParagraph"/>
        <w:numPr>
          <w:ilvl w:val="0"/>
          <w:numId w:val="6"/>
        </w:numPr>
        <w:tabs>
          <w:tab w:val="left" w:pos="284"/>
        </w:tabs>
        <w:spacing w:after="120"/>
        <w:ind w:left="852" w:hanging="426"/>
        <w:contextualSpacing w:val="0"/>
        <w:outlineLvl w:val="0"/>
        <w:rPr>
          <w:rFonts w:ascii="Calibri" w:hAnsi="Calibri"/>
        </w:rPr>
      </w:pPr>
      <w:r w:rsidRPr="008B0F41">
        <w:rPr>
          <w:rFonts w:ascii="Calibri" w:hAnsi="Calibri"/>
        </w:rPr>
        <w:lastRenderedPageBreak/>
        <w:t>Noting the recommendations from the Taskforce Report, as well as the proposed change in name to “Resource Mapping System”.</w:t>
      </w:r>
    </w:p>
    <w:p w:rsidR="005141E1" w:rsidRDefault="005141E1" w:rsidP="005141E1">
      <w:pPr>
        <w:pStyle w:val="ListParagraph"/>
        <w:numPr>
          <w:ilvl w:val="0"/>
          <w:numId w:val="6"/>
        </w:numPr>
        <w:tabs>
          <w:tab w:val="left" w:pos="284"/>
        </w:tabs>
        <w:spacing w:after="120"/>
        <w:ind w:left="852" w:hanging="426"/>
        <w:contextualSpacing w:val="0"/>
        <w:outlineLvl w:val="0"/>
        <w:rPr>
          <w:rFonts w:ascii="Calibri" w:hAnsi="Calibri"/>
        </w:rPr>
      </w:pPr>
      <w:r>
        <w:rPr>
          <w:rFonts w:ascii="Calibri" w:hAnsi="Calibri"/>
        </w:rPr>
        <w:t>Noting that a Steering Committee (of ISD and APZ members) will oversee the project and should report back to the ITSG periodically. It was recommended that a DM and an OD person be added.</w:t>
      </w:r>
    </w:p>
    <w:p w:rsidR="005141E1" w:rsidRDefault="005141E1" w:rsidP="005141E1">
      <w:pPr>
        <w:pStyle w:val="ListParagraph"/>
        <w:numPr>
          <w:ilvl w:val="0"/>
          <w:numId w:val="6"/>
        </w:numPr>
        <w:tabs>
          <w:tab w:val="left" w:pos="284"/>
        </w:tabs>
        <w:spacing w:after="120"/>
        <w:ind w:left="852" w:hanging="426"/>
        <w:contextualSpacing w:val="0"/>
        <w:outlineLvl w:val="0"/>
        <w:rPr>
          <w:rFonts w:ascii="Calibri" w:hAnsi="Calibri"/>
        </w:rPr>
      </w:pPr>
      <w:r>
        <w:rPr>
          <w:rFonts w:ascii="Calibri" w:hAnsi="Calibri"/>
        </w:rPr>
        <w:t xml:space="preserve">Noting that the job descriptions for the RMS Support positions in the Asia-Pacific, Africa and Americas zones need to be confirmed as having a broader scope, including ISD Technology Catalogue applications support responsibilities. </w:t>
      </w:r>
    </w:p>
    <w:p w:rsidR="005141E1" w:rsidRPr="008B0F41" w:rsidRDefault="005141E1" w:rsidP="005141E1">
      <w:pPr>
        <w:pStyle w:val="ListParagraph"/>
        <w:numPr>
          <w:ilvl w:val="0"/>
          <w:numId w:val="6"/>
        </w:numPr>
        <w:tabs>
          <w:tab w:val="left" w:pos="284"/>
        </w:tabs>
        <w:spacing w:after="120"/>
        <w:ind w:left="852" w:hanging="426"/>
        <w:contextualSpacing w:val="0"/>
        <w:outlineLvl w:val="0"/>
        <w:rPr>
          <w:rFonts w:ascii="Calibri" w:hAnsi="Calibri"/>
        </w:rPr>
      </w:pPr>
      <w:r>
        <w:rPr>
          <w:rFonts w:ascii="Calibri" w:hAnsi="Calibri"/>
        </w:rPr>
        <w:t>Noting that the RMS project does not have budgetary impact. (it is funded out of APZ restricted funds.)</w:t>
      </w:r>
    </w:p>
    <w:p w:rsidR="005141E1" w:rsidRPr="008B0F41" w:rsidRDefault="005141E1" w:rsidP="005141E1">
      <w:pPr>
        <w:pStyle w:val="ListParagraph"/>
        <w:numPr>
          <w:ilvl w:val="0"/>
          <w:numId w:val="6"/>
        </w:numPr>
        <w:tabs>
          <w:tab w:val="left" w:pos="284"/>
        </w:tabs>
        <w:spacing w:after="120"/>
        <w:ind w:left="852" w:hanging="426"/>
        <w:contextualSpacing w:val="0"/>
        <w:outlineLvl w:val="0"/>
        <w:rPr>
          <w:rFonts w:ascii="Calibri" w:hAnsi="Calibri"/>
        </w:rPr>
      </w:pPr>
      <w:r w:rsidRPr="008B0F41">
        <w:rPr>
          <w:rFonts w:ascii="Calibri" w:hAnsi="Calibri"/>
        </w:rPr>
        <w:t>Noting the issue regarding “ownership” of the system,</w:t>
      </w:r>
      <w:r>
        <w:rPr>
          <w:rFonts w:ascii="Calibri" w:hAnsi="Calibri"/>
        </w:rPr>
        <w:t xml:space="preserve"> especially if this is proposed for wider use in other Zones/Regions.  This issue</w:t>
      </w:r>
      <w:r w:rsidRPr="008B0F41">
        <w:rPr>
          <w:rFonts w:ascii="Calibri" w:hAnsi="Calibri"/>
        </w:rPr>
        <w:t xml:space="preserve"> should be revisited in 2013.</w:t>
      </w:r>
    </w:p>
    <w:p w:rsidR="005141E1" w:rsidRDefault="005141E1" w:rsidP="005141E1">
      <w:pPr>
        <w:pStyle w:val="PlainText"/>
      </w:pPr>
    </w:p>
    <w:p w:rsidR="005141E1" w:rsidRDefault="005141E1" w:rsidP="005141E1">
      <w:pPr>
        <w:pStyle w:val="PlainText"/>
      </w:pPr>
      <w:r w:rsidRPr="005141E1">
        <w:rPr>
          <w:u w:val="single"/>
        </w:rPr>
        <w:t>From ITSG June 2013 minutes</w:t>
      </w:r>
      <w:r>
        <w:t xml:space="preserve">: </w:t>
      </w:r>
    </w:p>
    <w:p w:rsidR="005141E1" w:rsidRDefault="005141E1" w:rsidP="005141E1">
      <w:pPr>
        <w:pStyle w:val="PlainText"/>
      </w:pPr>
    </w:p>
    <w:p w:rsidR="005141E1" w:rsidRDefault="005141E1" w:rsidP="005141E1">
      <w:pPr>
        <w:pStyle w:val="PlainText"/>
      </w:pPr>
      <w:r>
        <w:t>“…</w:t>
      </w:r>
      <w:r w:rsidRPr="009A567E">
        <w:t xml:space="preserve">this issue </w:t>
      </w:r>
      <w:r>
        <w:t xml:space="preserve">[Shadow IT] </w:t>
      </w:r>
      <w:r w:rsidRPr="009A567E">
        <w:t xml:space="preserve">was raised earlier at the ITSG (July 2012) and is still on the agenda in the ITSG`s cumulative Action Points for follow-up.  Further steps taken include the following: </w:t>
      </w:r>
      <w:r>
        <w:t xml:space="preserve">(a) </w:t>
      </w:r>
      <w:r w:rsidRPr="009A567E">
        <w:t>Shadow IT above CHF50K should be reviewed by ITSG and this will be included in ITSG</w:t>
      </w:r>
      <w:r>
        <w:t>’</w:t>
      </w:r>
      <w:r w:rsidRPr="009A567E">
        <w:t xml:space="preserve">s amended ToR; </w:t>
      </w:r>
      <w:r>
        <w:t xml:space="preserve">(b) </w:t>
      </w:r>
      <w:r w:rsidRPr="009A567E">
        <w:t xml:space="preserve">controls will be implemented to trigger ISD awareness of Shadow IT.  For example: </w:t>
      </w:r>
    </w:p>
    <w:p w:rsidR="005141E1" w:rsidRDefault="005141E1" w:rsidP="005141E1">
      <w:pPr>
        <w:pStyle w:val="PlainText"/>
        <w:numPr>
          <w:ilvl w:val="0"/>
          <w:numId w:val="3"/>
        </w:numPr>
      </w:pPr>
      <w:r w:rsidRPr="009A567E">
        <w:t xml:space="preserve">consulting agreements which has an IT component being forwarded by HR to ISD for review; </w:t>
      </w:r>
    </w:p>
    <w:p w:rsidR="005141E1" w:rsidRDefault="005141E1" w:rsidP="005141E1">
      <w:pPr>
        <w:pStyle w:val="PlainText"/>
        <w:numPr>
          <w:ilvl w:val="0"/>
          <w:numId w:val="3"/>
        </w:numPr>
      </w:pPr>
      <w:r w:rsidRPr="009A567E">
        <w:t xml:space="preserve">invoices with an IT component being forwarded by Finance to ISD for review; </w:t>
      </w:r>
    </w:p>
    <w:p w:rsidR="005141E1" w:rsidRDefault="005141E1" w:rsidP="005141E1">
      <w:pPr>
        <w:pStyle w:val="PlainText"/>
        <w:numPr>
          <w:ilvl w:val="0"/>
          <w:numId w:val="3"/>
        </w:numPr>
      </w:pPr>
      <w:r w:rsidRPr="009A567E">
        <w:t xml:space="preserve">Shadow IT over CHF50K will be added to the ISD project list; </w:t>
      </w:r>
    </w:p>
    <w:p w:rsidR="005141E1" w:rsidRDefault="005141E1" w:rsidP="005141E1">
      <w:pPr>
        <w:pStyle w:val="PlainText"/>
        <w:numPr>
          <w:ilvl w:val="0"/>
          <w:numId w:val="3"/>
        </w:numPr>
      </w:pPr>
      <w:r w:rsidRPr="009A567E">
        <w:t>the proposed Contract Management System incorporating an ISD validation function.</w:t>
      </w:r>
      <w:r>
        <w:t>”</w:t>
      </w:r>
    </w:p>
    <w:p w:rsidR="005141E1" w:rsidRDefault="005141E1" w:rsidP="005141E1">
      <w:pPr>
        <w:pStyle w:val="PlainText"/>
      </w:pPr>
    </w:p>
    <w:p w:rsidR="005141E1" w:rsidRDefault="005141E1" w:rsidP="005141E1">
      <w:pPr>
        <w:pStyle w:val="PlainText"/>
      </w:pPr>
      <w:r>
        <w:t>And “The role of ITSG should include reviewing whether synergies exist between systems and to minimize duplication and overlap (especially relevant to shadow IT). …” and “NS developments and new ideas should also be considered. ISD responded that the technology catalogue has been developed and this collates more than 900 applications and this was presented at the recent CIO summit.”</w:t>
      </w:r>
    </w:p>
    <w:p w:rsidR="00757E50" w:rsidRDefault="00757E50">
      <w:pPr>
        <w:spacing w:after="200" w:line="276" w:lineRule="auto"/>
      </w:pPr>
      <w:r>
        <w:br w:type="page"/>
      </w:r>
    </w:p>
    <w:p w:rsidR="002D4224" w:rsidRDefault="00757E50" w:rsidP="00096A47">
      <w:pPr>
        <w:pStyle w:val="Heading1"/>
        <w:ind w:left="-720"/>
      </w:pPr>
      <w:r>
        <w:lastRenderedPageBreak/>
        <w:t xml:space="preserve">Appendix 5 – </w:t>
      </w:r>
      <w:r w:rsidR="00096A47" w:rsidRPr="00096A47">
        <w:t>Budget Assumptions for Potential Innovation Response Program</w:t>
      </w:r>
    </w:p>
    <w:p w:rsidR="005141E1" w:rsidRDefault="005141E1">
      <w:pPr>
        <w:spacing w:after="200" w:line="276" w:lineRule="auto"/>
      </w:pPr>
    </w:p>
    <w:p w:rsidR="00757E50" w:rsidRDefault="00757E50" w:rsidP="00853B2A">
      <w:pPr>
        <w:spacing w:after="200" w:line="276" w:lineRule="auto"/>
        <w:ind w:left="-720"/>
      </w:pPr>
      <w:r>
        <w:t xml:space="preserve">The following is a high level estimate of the budget required to implement the six </w:t>
      </w:r>
      <w:r w:rsidR="00096A47">
        <w:t>potential innovation programs suggested in the conclusion</w:t>
      </w:r>
      <w:r w:rsidR="00853B2A">
        <w:t>, above.  We have indicated some impacts and solicited comments from Finance.  These are included in the table below, with the ISD response to the questions raised.</w:t>
      </w:r>
      <w:r>
        <w:t xml:space="preserve"> </w:t>
      </w:r>
    </w:p>
    <w:p w:rsidR="00853B2A" w:rsidRDefault="00853B2A" w:rsidP="00853B2A">
      <w:pPr>
        <w:spacing w:after="200" w:line="276" w:lineRule="auto"/>
        <w:ind w:left="-720"/>
      </w:pPr>
    </w:p>
    <w:p w:rsidR="00757E50" w:rsidRDefault="00757E50" w:rsidP="00757E50">
      <w:pPr>
        <w:spacing w:after="200" w:line="276" w:lineRule="auto"/>
        <w:ind w:left="-1350"/>
      </w:pPr>
      <w:r w:rsidRPr="00757E50">
        <w:rPr>
          <w:noProof/>
        </w:rPr>
        <w:drawing>
          <wp:inline distT="0" distB="0" distL="0" distR="0" wp14:anchorId="6C708F92" wp14:editId="3540C448">
            <wp:extent cx="7635240" cy="5687568"/>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5240" cy="5687568"/>
                    </a:xfrm>
                    <a:prstGeom prst="rect">
                      <a:avLst/>
                    </a:prstGeom>
                    <a:noFill/>
                    <a:ln>
                      <a:noFill/>
                    </a:ln>
                  </pic:spPr>
                </pic:pic>
              </a:graphicData>
            </a:graphic>
          </wp:inline>
        </w:drawing>
      </w:r>
    </w:p>
    <w:p w:rsidR="00757E50" w:rsidRDefault="00757E50">
      <w:pPr>
        <w:spacing w:after="200" w:line="276" w:lineRule="auto"/>
      </w:pPr>
    </w:p>
    <w:p w:rsidR="00757E50" w:rsidRDefault="00757E50">
      <w:pPr>
        <w:spacing w:after="200" w:line="276" w:lineRule="auto"/>
        <w:rPr>
          <w:rFonts w:asciiTheme="majorHAnsi" w:eastAsiaTheme="majorEastAsia" w:hAnsiTheme="majorHAnsi" w:cstheme="majorBidi"/>
          <w:b/>
          <w:bCs/>
          <w:color w:val="365F91" w:themeColor="accent1" w:themeShade="BF"/>
          <w:sz w:val="28"/>
          <w:szCs w:val="28"/>
        </w:rPr>
      </w:pPr>
      <w:r>
        <w:br w:type="page"/>
      </w:r>
    </w:p>
    <w:p w:rsidR="002D4224" w:rsidRDefault="002D4224" w:rsidP="00757E50">
      <w:pPr>
        <w:pStyle w:val="Heading1"/>
      </w:pPr>
      <w:r>
        <w:lastRenderedPageBreak/>
        <w:t xml:space="preserve">Appendix </w:t>
      </w:r>
      <w:r w:rsidR="00757E50">
        <w:t>6</w:t>
      </w:r>
      <w:r>
        <w:t xml:space="preserve"> - IT System Exception Checklist</w:t>
      </w:r>
    </w:p>
    <w:p w:rsidR="002D4224" w:rsidRDefault="00054F27" w:rsidP="00054F27">
      <w:pPr>
        <w:spacing w:after="200" w:line="276" w:lineRule="auto"/>
      </w:pPr>
      <w:r>
        <w:t xml:space="preserve">14 August, 2012 edition, on the shared drive, </w:t>
      </w:r>
      <w:hyperlink r:id="rId13" w:history="1">
        <w:r w:rsidRPr="00054F27">
          <w:rPr>
            <w:rStyle w:val="Hyperlink"/>
          </w:rPr>
          <w:t>here</w:t>
        </w:r>
      </w:hyperlink>
      <w:r>
        <w:t xml:space="preserve">.  </w:t>
      </w:r>
      <w:r w:rsidR="002D4224">
        <w:t>Note the 13-point checklist on the third page of the form, below.</w:t>
      </w:r>
    </w:p>
    <w:p w:rsidR="002D4224" w:rsidRDefault="002D4224">
      <w:pPr>
        <w:spacing w:after="200" w:line="276" w:lineRule="auto"/>
      </w:pPr>
    </w:p>
    <w:p w:rsidR="002D4224" w:rsidRPr="00054F27" w:rsidRDefault="002D4224" w:rsidP="002D4224">
      <w:pPr>
        <w:jc w:val="center"/>
        <w:rPr>
          <w:b/>
          <w:bCs/>
          <w:sz w:val="28"/>
          <w:szCs w:val="28"/>
        </w:rPr>
      </w:pPr>
      <w:r w:rsidRPr="00054F27">
        <w:rPr>
          <w:b/>
          <w:bCs/>
          <w:sz w:val="28"/>
          <w:szCs w:val="28"/>
        </w:rPr>
        <w:t>IT System Exception Checklist</w:t>
      </w:r>
    </w:p>
    <w:p w:rsidR="002D4224" w:rsidRDefault="002D4224" w:rsidP="002D4224">
      <w:pPr>
        <w:rPr>
          <w:sz w:val="24"/>
          <w:szCs w:val="24"/>
        </w:rPr>
      </w:pPr>
    </w:p>
    <w:p w:rsidR="002D4224" w:rsidRPr="00F846B9" w:rsidRDefault="002D4224" w:rsidP="002D4224">
      <w:pPr>
        <w:jc w:val="both"/>
        <w:rPr>
          <w:b/>
          <w:sz w:val="24"/>
          <w:szCs w:val="24"/>
          <w:u w:val="single"/>
        </w:rPr>
      </w:pPr>
      <w:r w:rsidRPr="00F846B9">
        <w:rPr>
          <w:b/>
          <w:sz w:val="24"/>
          <w:szCs w:val="24"/>
          <w:u w:val="single"/>
        </w:rPr>
        <w:t>Background</w:t>
      </w:r>
    </w:p>
    <w:p w:rsidR="002D4224" w:rsidRDefault="002D4224" w:rsidP="002D4224">
      <w:pPr>
        <w:jc w:val="both"/>
        <w:rPr>
          <w:sz w:val="24"/>
          <w:szCs w:val="24"/>
        </w:rPr>
      </w:pPr>
      <w:r>
        <w:rPr>
          <w:sz w:val="24"/>
          <w:szCs w:val="24"/>
        </w:rPr>
        <w:t>Global operations at IFRC from around the world involve complex processes and varying need for IT systems support. Most IT systems and standards are designed from the Secretariat headquarters in Geneva, and replicated and made available for all field offices. While ISD does not recommend using technology outside our standards, there may be specific business requirements that may not be satisfactorily met from the existing portfolio of systems, or planned projects.</w:t>
      </w:r>
    </w:p>
    <w:p w:rsidR="002D4224" w:rsidRDefault="002D4224" w:rsidP="002D4224">
      <w:pPr>
        <w:jc w:val="both"/>
        <w:rPr>
          <w:sz w:val="24"/>
          <w:szCs w:val="24"/>
        </w:rPr>
      </w:pPr>
    </w:p>
    <w:p w:rsidR="002D4224" w:rsidRDefault="002D4224" w:rsidP="002D4224">
      <w:pPr>
        <w:jc w:val="both"/>
        <w:rPr>
          <w:sz w:val="24"/>
          <w:szCs w:val="24"/>
        </w:rPr>
      </w:pPr>
      <w:r>
        <w:rPr>
          <w:sz w:val="24"/>
          <w:szCs w:val="24"/>
        </w:rPr>
        <w:t>While these unique requirements are important to be met, it is also important to invest wisely so as to maximize the impact of this investment and make it available globally. On the other hand, there may be projects on the drawing board to cover these requirements, and any parallel initiative could seriously jeopardize such plans.</w:t>
      </w:r>
    </w:p>
    <w:p w:rsidR="002D4224" w:rsidRDefault="002D4224" w:rsidP="002D4224">
      <w:pPr>
        <w:jc w:val="both"/>
        <w:rPr>
          <w:sz w:val="24"/>
          <w:szCs w:val="24"/>
        </w:rPr>
      </w:pPr>
    </w:p>
    <w:p w:rsidR="002D4224" w:rsidRDefault="002D4224" w:rsidP="002D4224">
      <w:pPr>
        <w:jc w:val="both"/>
        <w:rPr>
          <w:sz w:val="24"/>
          <w:szCs w:val="24"/>
        </w:rPr>
      </w:pPr>
      <w:r>
        <w:rPr>
          <w:sz w:val="24"/>
          <w:szCs w:val="24"/>
        </w:rPr>
        <w:t>All decisions to invest in local solutions should at a minimum be mutually compatible, and include long term plans of support and integration or short-term plans to replace it with standard technologies as they become available.</w:t>
      </w:r>
    </w:p>
    <w:p w:rsidR="002D4224" w:rsidRDefault="002D4224" w:rsidP="002D4224">
      <w:pPr>
        <w:jc w:val="both"/>
        <w:rPr>
          <w:sz w:val="24"/>
          <w:szCs w:val="24"/>
        </w:rPr>
      </w:pPr>
    </w:p>
    <w:p w:rsidR="002D4224" w:rsidRDefault="002D4224" w:rsidP="002D4224">
      <w:pPr>
        <w:jc w:val="both"/>
        <w:rPr>
          <w:sz w:val="24"/>
          <w:szCs w:val="24"/>
        </w:rPr>
      </w:pPr>
      <w:r>
        <w:rPr>
          <w:sz w:val="24"/>
          <w:szCs w:val="24"/>
        </w:rPr>
        <w:t>Users need to keep in mind that t</w:t>
      </w:r>
      <w:r w:rsidRPr="002A1E3D">
        <w:rPr>
          <w:sz w:val="24"/>
          <w:szCs w:val="24"/>
        </w:rPr>
        <w:t xml:space="preserve">he </w:t>
      </w:r>
      <w:r>
        <w:rPr>
          <w:sz w:val="24"/>
          <w:szCs w:val="24"/>
        </w:rPr>
        <w:t xml:space="preserve">total </w:t>
      </w:r>
      <w:r w:rsidRPr="002A1E3D">
        <w:rPr>
          <w:sz w:val="24"/>
          <w:szCs w:val="24"/>
        </w:rPr>
        <w:t xml:space="preserve">costs </w:t>
      </w:r>
      <w:r>
        <w:rPr>
          <w:sz w:val="24"/>
          <w:szCs w:val="24"/>
        </w:rPr>
        <w:t xml:space="preserve">of ownership (TCO) for </w:t>
      </w:r>
      <w:r w:rsidRPr="002A1E3D">
        <w:rPr>
          <w:sz w:val="24"/>
          <w:szCs w:val="24"/>
        </w:rPr>
        <w:t xml:space="preserve">one-off </w:t>
      </w:r>
      <w:r>
        <w:rPr>
          <w:sz w:val="24"/>
          <w:szCs w:val="24"/>
        </w:rPr>
        <w:t xml:space="preserve">or local </w:t>
      </w:r>
      <w:r w:rsidRPr="002A1E3D">
        <w:rPr>
          <w:sz w:val="24"/>
          <w:szCs w:val="24"/>
        </w:rPr>
        <w:t xml:space="preserve">technology </w:t>
      </w:r>
      <w:r>
        <w:rPr>
          <w:sz w:val="24"/>
          <w:szCs w:val="24"/>
        </w:rPr>
        <w:t xml:space="preserve">projects </w:t>
      </w:r>
      <w:r w:rsidRPr="002A1E3D">
        <w:rPr>
          <w:sz w:val="24"/>
          <w:szCs w:val="24"/>
        </w:rPr>
        <w:t xml:space="preserve">and </w:t>
      </w:r>
      <w:r>
        <w:rPr>
          <w:sz w:val="24"/>
          <w:szCs w:val="24"/>
        </w:rPr>
        <w:t xml:space="preserve">their </w:t>
      </w:r>
      <w:r w:rsidRPr="002A1E3D">
        <w:rPr>
          <w:sz w:val="24"/>
          <w:szCs w:val="24"/>
        </w:rPr>
        <w:t>support usually exceed</w:t>
      </w:r>
      <w:r>
        <w:rPr>
          <w:sz w:val="24"/>
          <w:szCs w:val="24"/>
        </w:rPr>
        <w:t>s</w:t>
      </w:r>
      <w:r w:rsidRPr="002A1E3D">
        <w:rPr>
          <w:sz w:val="24"/>
          <w:szCs w:val="24"/>
        </w:rPr>
        <w:t xml:space="preserve"> </w:t>
      </w:r>
      <w:r>
        <w:rPr>
          <w:sz w:val="24"/>
          <w:szCs w:val="24"/>
        </w:rPr>
        <w:t xml:space="preserve">the </w:t>
      </w:r>
      <w:r w:rsidRPr="002A1E3D">
        <w:rPr>
          <w:sz w:val="24"/>
          <w:szCs w:val="24"/>
        </w:rPr>
        <w:t>budget</w:t>
      </w:r>
      <w:r>
        <w:rPr>
          <w:sz w:val="24"/>
          <w:szCs w:val="24"/>
        </w:rPr>
        <w:t>s available</w:t>
      </w:r>
      <w:r w:rsidRPr="002A1E3D">
        <w:rPr>
          <w:sz w:val="24"/>
          <w:szCs w:val="24"/>
        </w:rPr>
        <w:t xml:space="preserve"> and are often difficult to integrate with our standard technology architecture, including hardware, software and databases.  However, we recognize that emerging technologies may warrant pilot projects from time-to-time, and the emerging technologies of today often become the standard technologies of tomorrow.  Therefore we have designed this form to help identify those cases where an exception to our standards has a strong and positive business case rather than a matter of personal preference.</w:t>
      </w:r>
    </w:p>
    <w:p w:rsidR="002D4224" w:rsidRDefault="002D4224" w:rsidP="002D4224">
      <w:pPr>
        <w:jc w:val="both"/>
        <w:rPr>
          <w:sz w:val="24"/>
          <w:szCs w:val="24"/>
        </w:rPr>
      </w:pPr>
    </w:p>
    <w:p w:rsidR="002D4224" w:rsidRDefault="002D4224" w:rsidP="002D4224">
      <w:pPr>
        <w:jc w:val="both"/>
        <w:rPr>
          <w:sz w:val="24"/>
          <w:szCs w:val="24"/>
        </w:rPr>
      </w:pPr>
      <w:r>
        <w:rPr>
          <w:sz w:val="24"/>
          <w:szCs w:val="24"/>
        </w:rPr>
        <w:t>This document is aimed to provide the guidelines to achieve the above-listed objectives.</w:t>
      </w:r>
    </w:p>
    <w:p w:rsidR="002D4224" w:rsidRDefault="002D4224" w:rsidP="002D4224">
      <w:pPr>
        <w:rPr>
          <w:sz w:val="24"/>
          <w:szCs w:val="24"/>
        </w:rPr>
      </w:pPr>
      <w:r>
        <w:rPr>
          <w:sz w:val="24"/>
          <w:szCs w:val="24"/>
        </w:rPr>
        <w:br w:type="page"/>
      </w:r>
    </w:p>
    <w:p w:rsidR="002D4224" w:rsidRPr="000866A3" w:rsidRDefault="002D4224" w:rsidP="002D4224">
      <w:pPr>
        <w:rPr>
          <w:b/>
          <w:sz w:val="24"/>
          <w:szCs w:val="24"/>
          <w:u w:val="single"/>
        </w:rPr>
      </w:pPr>
      <w:r w:rsidRPr="000866A3">
        <w:rPr>
          <w:b/>
          <w:sz w:val="24"/>
          <w:szCs w:val="24"/>
          <w:u w:val="single"/>
        </w:rPr>
        <w:lastRenderedPageBreak/>
        <w:t>IT System Exception Request</w:t>
      </w:r>
    </w:p>
    <w:tbl>
      <w:tblPr>
        <w:tblStyle w:val="TableGrid"/>
        <w:tblW w:w="0" w:type="auto"/>
        <w:tblLook w:val="04A0" w:firstRow="1" w:lastRow="0" w:firstColumn="1" w:lastColumn="0" w:noHBand="0" w:noVBand="1"/>
      </w:tblPr>
      <w:tblGrid>
        <w:gridCol w:w="9288"/>
      </w:tblGrid>
      <w:tr w:rsidR="002D4224" w:rsidTr="00B25D17">
        <w:tc>
          <w:tcPr>
            <w:tcW w:w="9288" w:type="dxa"/>
          </w:tcPr>
          <w:p w:rsidR="002D4224" w:rsidRPr="00542205" w:rsidRDefault="002D4224" w:rsidP="00B25D17">
            <w:pPr>
              <w:autoSpaceDE w:val="0"/>
              <w:autoSpaceDN w:val="0"/>
              <w:adjustRightInd w:val="0"/>
              <w:rPr>
                <w:rFonts w:ascii="Arial" w:hAnsi="Arial" w:cs="Arial"/>
                <w:b/>
                <w:bCs/>
              </w:rPr>
            </w:pPr>
            <w:r>
              <w:rPr>
                <w:rFonts w:ascii="Arial" w:hAnsi="Arial" w:cs="Arial"/>
                <w:b/>
                <w:bCs/>
              </w:rPr>
              <w:t xml:space="preserve">Hardware  </w:t>
            </w:r>
            <w:r>
              <w:rPr>
                <w:rFonts w:ascii="Arial" w:hAnsi="Arial" w:cs="Arial"/>
                <w:b/>
                <w:bCs/>
              </w:rPr>
              <w:fldChar w:fldCharType="begin">
                <w:ffData>
                  <w:name w:val="Check5"/>
                  <w:enabled/>
                  <w:calcOnExit w:val="0"/>
                  <w:checkBox>
                    <w:sizeAuto/>
                    <w:default w:val="0"/>
                  </w:checkBox>
                </w:ffData>
              </w:fldChar>
            </w:r>
            <w:bookmarkStart w:id="2" w:name="Check5"/>
            <w:r>
              <w:rPr>
                <w:rFonts w:ascii="Arial" w:hAnsi="Arial" w:cs="Arial"/>
                <w:b/>
                <w:bCs/>
              </w:rPr>
              <w:instrText xml:space="preserve"> FORMCHECKBOX </w:instrText>
            </w:r>
            <w:r w:rsidR="00E678DD">
              <w:rPr>
                <w:rFonts w:ascii="Arial" w:hAnsi="Arial" w:cs="Arial"/>
                <w:b/>
                <w:bCs/>
              </w:rPr>
            </w:r>
            <w:r w:rsidR="00E678DD">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Software  </w:t>
            </w:r>
            <w:r>
              <w:rPr>
                <w:rFonts w:ascii="Arial" w:hAnsi="Arial" w:cs="Arial"/>
                <w:b/>
                <w:bCs/>
              </w:rPr>
              <w:fldChar w:fldCharType="begin">
                <w:ffData>
                  <w:name w:val="Check6"/>
                  <w:enabled/>
                  <w:calcOnExit w:val="0"/>
                  <w:checkBox>
                    <w:sizeAuto/>
                    <w:default w:val="0"/>
                  </w:checkBox>
                </w:ffData>
              </w:fldChar>
            </w:r>
            <w:bookmarkStart w:id="3" w:name="Check6"/>
            <w:r>
              <w:rPr>
                <w:rFonts w:ascii="Arial" w:hAnsi="Arial" w:cs="Arial"/>
                <w:b/>
                <w:bCs/>
              </w:rPr>
              <w:instrText xml:space="preserve"> FORMCHECKBOX </w:instrText>
            </w:r>
            <w:r w:rsidR="00E678DD">
              <w:rPr>
                <w:rFonts w:ascii="Arial" w:hAnsi="Arial" w:cs="Arial"/>
                <w:b/>
                <w:bCs/>
              </w:rPr>
            </w:r>
            <w:r w:rsidR="00E678DD">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Date:  </w:t>
            </w:r>
          </w:p>
        </w:tc>
      </w:tr>
      <w:tr w:rsidR="002D4224" w:rsidTr="00B25D17">
        <w:tc>
          <w:tcPr>
            <w:tcW w:w="9288" w:type="dxa"/>
          </w:tcPr>
          <w:p w:rsidR="002D4224" w:rsidRPr="002F1E58" w:rsidRDefault="002D4224" w:rsidP="00B25D17">
            <w:pPr>
              <w:autoSpaceDE w:val="0"/>
              <w:autoSpaceDN w:val="0"/>
              <w:adjustRightInd w:val="0"/>
              <w:rPr>
                <w:rFonts w:ascii="Arial" w:hAnsi="Arial" w:cs="Arial"/>
                <w:bCs/>
              </w:rPr>
            </w:pPr>
            <w:r>
              <w:rPr>
                <w:rFonts w:ascii="Arial" w:hAnsi="Arial" w:cs="Arial"/>
                <w:b/>
                <w:bCs/>
              </w:rPr>
              <w:t>Requester:</w:t>
            </w:r>
          </w:p>
          <w:p w:rsidR="002D4224" w:rsidRPr="002F1E58" w:rsidRDefault="002D4224" w:rsidP="00B25D17">
            <w:pPr>
              <w:autoSpaceDE w:val="0"/>
              <w:autoSpaceDN w:val="0"/>
              <w:adjustRightInd w:val="0"/>
              <w:rPr>
                <w:rFonts w:ascii="Arial" w:hAnsi="Arial" w:cs="Arial"/>
                <w:bCs/>
              </w:rPr>
            </w:pPr>
            <w:r>
              <w:rPr>
                <w:rFonts w:ascii="Arial" w:hAnsi="Arial" w:cs="Arial"/>
                <w:b/>
                <w:bCs/>
              </w:rPr>
              <w:t>Brief description:</w:t>
            </w:r>
            <w:r>
              <w:rPr>
                <w:rFonts w:ascii="Arial" w:hAnsi="Arial" w:cs="Arial"/>
                <w:b/>
                <w:bCs/>
              </w:rPr>
              <w:br/>
            </w:r>
            <w:r w:rsidRPr="002F1E58">
              <w:rPr>
                <w:rFonts w:ascii="Arial" w:hAnsi="Arial" w:cs="Arial"/>
                <w:bCs/>
              </w:rPr>
              <w:br/>
            </w:r>
            <w:r w:rsidRPr="002F1E58">
              <w:rPr>
                <w:rFonts w:ascii="Arial" w:hAnsi="Arial" w:cs="Arial"/>
                <w:bCs/>
              </w:rPr>
              <w:br/>
            </w:r>
          </w:p>
          <w:p w:rsidR="002D4224" w:rsidRPr="002F1E58" w:rsidRDefault="002D4224" w:rsidP="00B25D17">
            <w:pPr>
              <w:autoSpaceDE w:val="0"/>
              <w:autoSpaceDN w:val="0"/>
              <w:adjustRightInd w:val="0"/>
              <w:rPr>
                <w:rFonts w:ascii="Arial" w:hAnsi="Arial" w:cs="Arial"/>
                <w:bCs/>
              </w:rPr>
            </w:pPr>
            <w:r>
              <w:rPr>
                <w:rFonts w:ascii="Arial" w:hAnsi="Arial" w:cs="Arial"/>
                <w:b/>
                <w:bCs/>
              </w:rPr>
              <w:t>Department:</w:t>
            </w:r>
          </w:p>
          <w:p w:rsidR="002D4224" w:rsidRPr="002F1E58" w:rsidRDefault="002D4224" w:rsidP="00B25D17">
            <w:pPr>
              <w:autoSpaceDE w:val="0"/>
              <w:autoSpaceDN w:val="0"/>
              <w:adjustRightInd w:val="0"/>
              <w:rPr>
                <w:rFonts w:ascii="Arial" w:hAnsi="Arial" w:cs="Arial"/>
                <w:bCs/>
              </w:rPr>
            </w:pPr>
            <w:r>
              <w:rPr>
                <w:rFonts w:ascii="Arial" w:hAnsi="Arial" w:cs="Arial"/>
                <w:b/>
                <w:bCs/>
              </w:rPr>
              <w:t>Contact information (phone/e-mail):</w:t>
            </w:r>
          </w:p>
        </w:tc>
      </w:tr>
      <w:tr w:rsidR="002D4224" w:rsidTr="00B25D17">
        <w:tc>
          <w:tcPr>
            <w:tcW w:w="9288" w:type="dxa"/>
          </w:tcPr>
          <w:p w:rsidR="002D4224" w:rsidRPr="002F1E58" w:rsidRDefault="002D4224" w:rsidP="00B25D17">
            <w:pPr>
              <w:autoSpaceDE w:val="0"/>
              <w:autoSpaceDN w:val="0"/>
              <w:adjustRightInd w:val="0"/>
              <w:rPr>
                <w:rFonts w:ascii="Arial" w:hAnsi="Arial" w:cs="Arial"/>
                <w:bCs/>
              </w:rPr>
            </w:pPr>
            <w:r w:rsidRPr="002F1E58">
              <w:rPr>
                <w:rFonts w:ascii="Arial" w:hAnsi="Arial" w:cs="Arial"/>
                <w:b/>
                <w:bCs/>
                <w:u w:val="single"/>
              </w:rPr>
              <w:t>Please review the checklist on following page and confirm current status:</w:t>
            </w:r>
          </w:p>
          <w:p w:rsidR="002D4224" w:rsidRPr="002F1E58" w:rsidRDefault="002D4224" w:rsidP="00B25D17">
            <w:pPr>
              <w:autoSpaceDE w:val="0"/>
              <w:autoSpaceDN w:val="0"/>
              <w:adjustRightInd w:val="0"/>
              <w:rPr>
                <w:rFonts w:ascii="Arial" w:hAnsi="Arial" w:cs="Arial"/>
                <w:bCs/>
              </w:rPr>
            </w:pPr>
          </w:p>
          <w:p w:rsidR="002D4224" w:rsidRDefault="002D4224" w:rsidP="00B25D17">
            <w:pPr>
              <w:autoSpaceDE w:val="0"/>
              <w:autoSpaceDN w:val="0"/>
              <w:adjustRightInd w:val="0"/>
              <w:rPr>
                <w:rFonts w:ascii="Arial" w:hAnsi="Arial" w:cs="Arial"/>
                <w:b/>
                <w:bCs/>
              </w:rPr>
            </w:pPr>
          </w:p>
          <w:p w:rsidR="002D4224" w:rsidRPr="00322CE8" w:rsidRDefault="002D4224" w:rsidP="00B25D17">
            <w:pPr>
              <w:autoSpaceDE w:val="0"/>
              <w:autoSpaceDN w:val="0"/>
              <w:adjustRightInd w:val="0"/>
              <w:rPr>
                <w:rFonts w:ascii="Arial" w:hAnsi="Arial" w:cs="Arial"/>
                <w:b/>
                <w:bCs/>
              </w:rPr>
            </w:pPr>
          </w:p>
        </w:tc>
      </w:tr>
      <w:tr w:rsidR="002D4224" w:rsidTr="00B25D17">
        <w:tc>
          <w:tcPr>
            <w:tcW w:w="9288" w:type="dxa"/>
          </w:tcPr>
          <w:p w:rsidR="002D4224" w:rsidRPr="002F1E58" w:rsidRDefault="002D4224" w:rsidP="00B25D17">
            <w:pPr>
              <w:autoSpaceDE w:val="0"/>
              <w:autoSpaceDN w:val="0"/>
              <w:adjustRightInd w:val="0"/>
              <w:rPr>
                <w:rFonts w:ascii="Arial" w:hAnsi="Arial" w:cs="Arial"/>
                <w:bCs/>
                <w:iCs/>
                <w:color w:val="000000"/>
              </w:rPr>
            </w:pPr>
            <w:r w:rsidRPr="000866A3">
              <w:rPr>
                <w:rFonts w:ascii="Arial" w:hAnsi="Arial" w:cs="Arial"/>
                <w:b/>
                <w:bCs/>
                <w:iCs/>
                <w:color w:val="000000"/>
                <w:u w:val="single"/>
              </w:rPr>
              <w:t>Proposed next steps:</w:t>
            </w:r>
          </w:p>
          <w:p w:rsidR="002D4224" w:rsidRDefault="002D4224" w:rsidP="00B25D17">
            <w:pPr>
              <w:autoSpaceDE w:val="0"/>
              <w:autoSpaceDN w:val="0"/>
              <w:adjustRightInd w:val="0"/>
              <w:rPr>
                <w:rFonts w:ascii="Arial" w:hAnsi="Arial" w:cs="Arial"/>
                <w:lang w:val="fr-FR"/>
              </w:rPr>
            </w:pPr>
          </w:p>
          <w:p w:rsidR="002D4224" w:rsidRDefault="002D4224" w:rsidP="00B25D17">
            <w:pPr>
              <w:autoSpaceDE w:val="0"/>
              <w:autoSpaceDN w:val="0"/>
              <w:adjustRightInd w:val="0"/>
              <w:rPr>
                <w:rFonts w:ascii="Arial" w:hAnsi="Arial" w:cs="Arial"/>
                <w:lang w:val="fr-FR"/>
              </w:rPr>
            </w:pPr>
          </w:p>
          <w:p w:rsidR="002D4224" w:rsidRPr="002F1E58" w:rsidRDefault="002D4224" w:rsidP="00B25D17">
            <w:pPr>
              <w:autoSpaceDE w:val="0"/>
              <w:autoSpaceDN w:val="0"/>
              <w:adjustRightInd w:val="0"/>
              <w:rPr>
                <w:rFonts w:ascii="Arial" w:hAnsi="Arial" w:cs="Arial"/>
                <w:b/>
                <w:bCs/>
                <w:iCs/>
                <w:lang w:val="fr-FR"/>
              </w:rPr>
            </w:pPr>
          </w:p>
        </w:tc>
      </w:tr>
      <w:tr w:rsidR="002D4224" w:rsidTr="00B25D17">
        <w:tc>
          <w:tcPr>
            <w:tcW w:w="9288" w:type="dxa"/>
          </w:tcPr>
          <w:p w:rsidR="002D4224" w:rsidRPr="002F1E58" w:rsidRDefault="002D4224" w:rsidP="00B25D17">
            <w:pPr>
              <w:autoSpaceDE w:val="0"/>
              <w:autoSpaceDN w:val="0"/>
              <w:adjustRightInd w:val="0"/>
              <w:rPr>
                <w:rFonts w:ascii="Arial" w:hAnsi="Arial" w:cs="Arial"/>
                <w:bCs/>
                <w:iCs/>
                <w:color w:val="000000"/>
              </w:rPr>
            </w:pPr>
            <w:r>
              <w:rPr>
                <w:rFonts w:ascii="Arial" w:hAnsi="Arial" w:cs="Arial"/>
                <w:b/>
                <w:bCs/>
                <w:iCs/>
                <w:color w:val="000000"/>
                <w:u w:val="single"/>
              </w:rPr>
              <w:t>Requirement time-frame:</w:t>
            </w:r>
          </w:p>
          <w:p w:rsidR="002D4224" w:rsidRDefault="002D4224" w:rsidP="00B25D17">
            <w:pPr>
              <w:autoSpaceDE w:val="0"/>
              <w:autoSpaceDN w:val="0"/>
              <w:adjustRightInd w:val="0"/>
              <w:rPr>
                <w:rFonts w:ascii="Arial" w:hAnsi="Arial" w:cs="Arial"/>
                <w:bCs/>
                <w:iCs/>
                <w:color w:val="000000"/>
              </w:rPr>
            </w:pPr>
          </w:p>
          <w:p w:rsidR="002D4224" w:rsidRPr="002F1E58" w:rsidRDefault="002D4224" w:rsidP="00B25D17">
            <w:pPr>
              <w:autoSpaceDE w:val="0"/>
              <w:autoSpaceDN w:val="0"/>
              <w:adjustRightInd w:val="0"/>
              <w:rPr>
                <w:rFonts w:ascii="Arial" w:hAnsi="Arial" w:cs="Arial"/>
                <w:bCs/>
                <w:iCs/>
                <w:color w:val="000000"/>
              </w:rPr>
            </w:pPr>
          </w:p>
        </w:tc>
      </w:tr>
      <w:tr w:rsidR="002D4224" w:rsidTr="00B25D17">
        <w:tc>
          <w:tcPr>
            <w:tcW w:w="9288" w:type="dxa"/>
          </w:tcPr>
          <w:p w:rsidR="002D4224" w:rsidRDefault="002D4224" w:rsidP="00B25D17">
            <w:pPr>
              <w:autoSpaceDE w:val="0"/>
              <w:autoSpaceDN w:val="0"/>
              <w:adjustRightInd w:val="0"/>
              <w:rPr>
                <w:rFonts w:ascii="Arial" w:hAnsi="Arial" w:cs="Arial"/>
                <w:bCs/>
                <w:iCs/>
                <w:color w:val="000000"/>
              </w:rPr>
            </w:pPr>
            <w:r>
              <w:rPr>
                <w:rFonts w:ascii="Arial" w:hAnsi="Arial" w:cs="Arial"/>
                <w:b/>
                <w:bCs/>
                <w:iCs/>
                <w:color w:val="000000"/>
                <w:u w:val="single"/>
              </w:rPr>
              <w:t>Costs:</w:t>
            </w:r>
          </w:p>
          <w:p w:rsidR="002D4224" w:rsidRDefault="002D4224" w:rsidP="00B25D17">
            <w:pPr>
              <w:autoSpaceDE w:val="0"/>
              <w:autoSpaceDN w:val="0"/>
              <w:adjustRightInd w:val="0"/>
              <w:rPr>
                <w:rFonts w:ascii="Arial" w:hAnsi="Arial" w:cs="Arial"/>
                <w:bCs/>
                <w:iCs/>
                <w:color w:val="000000"/>
              </w:rPr>
            </w:pPr>
            <w:r>
              <w:rPr>
                <w:rFonts w:ascii="Arial" w:hAnsi="Arial" w:cs="Arial"/>
                <w:bCs/>
                <w:iCs/>
                <w:color w:val="000000"/>
              </w:rPr>
              <w:t>Initial investment costs:</w:t>
            </w:r>
          </w:p>
          <w:p w:rsidR="002D4224" w:rsidRDefault="002D4224" w:rsidP="00B25D17">
            <w:pPr>
              <w:autoSpaceDE w:val="0"/>
              <w:autoSpaceDN w:val="0"/>
              <w:adjustRightInd w:val="0"/>
              <w:rPr>
                <w:rFonts w:ascii="Arial" w:hAnsi="Arial" w:cs="Arial"/>
                <w:bCs/>
                <w:iCs/>
                <w:color w:val="000000"/>
              </w:rPr>
            </w:pPr>
            <w:r>
              <w:rPr>
                <w:rFonts w:ascii="Arial" w:hAnsi="Arial" w:cs="Arial"/>
                <w:bCs/>
                <w:iCs/>
                <w:color w:val="000000"/>
              </w:rPr>
              <w:t>Training and roll-out costs:</w:t>
            </w:r>
          </w:p>
          <w:p w:rsidR="002D4224" w:rsidRDefault="002D4224" w:rsidP="00B25D17">
            <w:pPr>
              <w:autoSpaceDE w:val="0"/>
              <w:autoSpaceDN w:val="0"/>
              <w:adjustRightInd w:val="0"/>
              <w:rPr>
                <w:rFonts w:ascii="Arial" w:hAnsi="Arial" w:cs="Arial"/>
                <w:bCs/>
                <w:iCs/>
                <w:color w:val="000000"/>
              </w:rPr>
            </w:pPr>
            <w:r>
              <w:rPr>
                <w:rFonts w:ascii="Arial" w:hAnsi="Arial" w:cs="Arial"/>
                <w:bCs/>
                <w:iCs/>
                <w:color w:val="000000"/>
              </w:rPr>
              <w:t>Annual support arrangement costs:</w:t>
            </w:r>
          </w:p>
          <w:p w:rsidR="002D4224" w:rsidRDefault="002D4224" w:rsidP="00B25D17">
            <w:pPr>
              <w:autoSpaceDE w:val="0"/>
              <w:autoSpaceDN w:val="0"/>
              <w:adjustRightInd w:val="0"/>
              <w:rPr>
                <w:rFonts w:ascii="Arial" w:hAnsi="Arial" w:cs="Arial"/>
                <w:bCs/>
                <w:iCs/>
                <w:color w:val="000000"/>
              </w:rPr>
            </w:pPr>
            <w:r>
              <w:rPr>
                <w:rFonts w:ascii="Arial" w:hAnsi="Arial" w:cs="Arial"/>
                <w:bCs/>
                <w:iCs/>
                <w:color w:val="000000"/>
              </w:rPr>
              <w:t>Hosting costs:</w:t>
            </w:r>
          </w:p>
          <w:p w:rsidR="002D4224" w:rsidRDefault="002D4224" w:rsidP="00B25D17">
            <w:pPr>
              <w:autoSpaceDE w:val="0"/>
              <w:autoSpaceDN w:val="0"/>
              <w:adjustRightInd w:val="0"/>
              <w:rPr>
                <w:rFonts w:ascii="Arial" w:hAnsi="Arial" w:cs="Arial"/>
                <w:bCs/>
                <w:iCs/>
                <w:color w:val="000000"/>
              </w:rPr>
            </w:pPr>
            <w:r>
              <w:rPr>
                <w:rFonts w:ascii="Arial" w:hAnsi="Arial" w:cs="Arial"/>
                <w:bCs/>
                <w:iCs/>
                <w:color w:val="000000"/>
              </w:rPr>
              <w:t>Systems integration costs:</w:t>
            </w:r>
          </w:p>
          <w:p w:rsidR="002D4224" w:rsidRDefault="002D4224" w:rsidP="00B25D17">
            <w:pPr>
              <w:autoSpaceDE w:val="0"/>
              <w:autoSpaceDN w:val="0"/>
              <w:adjustRightInd w:val="0"/>
              <w:rPr>
                <w:rFonts w:ascii="Arial" w:hAnsi="Arial" w:cs="Arial"/>
                <w:bCs/>
                <w:iCs/>
                <w:color w:val="000000"/>
              </w:rPr>
            </w:pPr>
            <w:r>
              <w:rPr>
                <w:rFonts w:ascii="Arial" w:hAnsi="Arial" w:cs="Arial"/>
                <w:bCs/>
                <w:iCs/>
                <w:color w:val="000000"/>
              </w:rPr>
              <w:t>Data conversion costs:</w:t>
            </w:r>
          </w:p>
          <w:p w:rsidR="002D4224" w:rsidRPr="002F1E58" w:rsidRDefault="002D4224" w:rsidP="00B25D17">
            <w:pPr>
              <w:autoSpaceDE w:val="0"/>
              <w:autoSpaceDN w:val="0"/>
              <w:adjustRightInd w:val="0"/>
              <w:rPr>
                <w:rFonts w:ascii="Arial" w:hAnsi="Arial" w:cs="Arial"/>
                <w:bCs/>
                <w:iCs/>
                <w:color w:val="000000"/>
              </w:rPr>
            </w:pPr>
            <w:r>
              <w:rPr>
                <w:rFonts w:ascii="Arial" w:hAnsi="Arial" w:cs="Arial"/>
                <w:bCs/>
                <w:iCs/>
                <w:color w:val="000000"/>
              </w:rPr>
              <w:t>Expected return-on-investment period:</w:t>
            </w:r>
          </w:p>
        </w:tc>
      </w:tr>
      <w:tr w:rsidR="002D4224" w:rsidTr="00B25D17">
        <w:tc>
          <w:tcPr>
            <w:tcW w:w="9288" w:type="dxa"/>
          </w:tcPr>
          <w:p w:rsidR="002D4224" w:rsidRDefault="002D4224" w:rsidP="00B25D17">
            <w:pPr>
              <w:autoSpaceDE w:val="0"/>
              <w:autoSpaceDN w:val="0"/>
              <w:adjustRightInd w:val="0"/>
              <w:rPr>
                <w:rFonts w:ascii="Arial" w:hAnsi="Arial" w:cs="Arial"/>
                <w:bCs/>
                <w:iCs/>
                <w:color w:val="000000"/>
              </w:rPr>
            </w:pPr>
            <w:r>
              <w:rPr>
                <w:rFonts w:ascii="Arial" w:hAnsi="Arial" w:cs="Arial"/>
                <w:b/>
                <w:bCs/>
                <w:iCs/>
                <w:color w:val="000000"/>
                <w:u w:val="single"/>
              </w:rPr>
              <w:t>Expectations from ISD:</w:t>
            </w:r>
          </w:p>
          <w:p w:rsidR="002D4224" w:rsidRDefault="002D4224" w:rsidP="00B25D17">
            <w:pPr>
              <w:autoSpaceDE w:val="0"/>
              <w:autoSpaceDN w:val="0"/>
              <w:adjustRightInd w:val="0"/>
              <w:rPr>
                <w:rFonts w:ascii="Arial" w:hAnsi="Arial" w:cs="Arial"/>
                <w:bCs/>
                <w:iCs/>
                <w:color w:val="000000"/>
              </w:rPr>
            </w:pPr>
          </w:p>
          <w:p w:rsidR="002D4224" w:rsidRDefault="002D4224" w:rsidP="00B25D17">
            <w:pPr>
              <w:autoSpaceDE w:val="0"/>
              <w:autoSpaceDN w:val="0"/>
              <w:adjustRightInd w:val="0"/>
              <w:rPr>
                <w:rFonts w:ascii="Arial" w:hAnsi="Arial" w:cs="Arial"/>
                <w:bCs/>
                <w:iCs/>
                <w:color w:val="000000"/>
              </w:rPr>
            </w:pPr>
          </w:p>
          <w:p w:rsidR="002D4224" w:rsidRDefault="002D4224" w:rsidP="00B25D17">
            <w:pPr>
              <w:autoSpaceDE w:val="0"/>
              <w:autoSpaceDN w:val="0"/>
              <w:adjustRightInd w:val="0"/>
              <w:rPr>
                <w:rFonts w:ascii="Arial" w:hAnsi="Arial" w:cs="Arial"/>
                <w:bCs/>
                <w:iCs/>
                <w:color w:val="000000"/>
              </w:rPr>
            </w:pPr>
          </w:p>
          <w:p w:rsidR="002D4224" w:rsidRPr="00CA3A90" w:rsidRDefault="002D4224" w:rsidP="00B25D17">
            <w:pPr>
              <w:autoSpaceDE w:val="0"/>
              <w:autoSpaceDN w:val="0"/>
              <w:adjustRightInd w:val="0"/>
              <w:rPr>
                <w:rFonts w:ascii="Arial" w:hAnsi="Arial" w:cs="Arial"/>
                <w:bCs/>
                <w:iCs/>
                <w:color w:val="000000"/>
              </w:rPr>
            </w:pPr>
          </w:p>
        </w:tc>
      </w:tr>
      <w:tr w:rsidR="002D4224" w:rsidTr="00B25D17">
        <w:tc>
          <w:tcPr>
            <w:tcW w:w="9288" w:type="dxa"/>
          </w:tcPr>
          <w:p w:rsidR="002D4224" w:rsidRDefault="002D4224" w:rsidP="00B25D17">
            <w:pPr>
              <w:autoSpaceDE w:val="0"/>
              <w:autoSpaceDN w:val="0"/>
              <w:adjustRightInd w:val="0"/>
              <w:rPr>
                <w:rFonts w:ascii="Arial" w:hAnsi="Arial" w:cs="Arial"/>
                <w:b/>
                <w:bCs/>
                <w:iCs/>
                <w:color w:val="000000"/>
                <w:u w:val="single"/>
              </w:rPr>
            </w:pPr>
            <w:r>
              <w:rPr>
                <w:rFonts w:ascii="Arial" w:hAnsi="Arial" w:cs="Arial"/>
                <w:b/>
                <w:bCs/>
                <w:iCs/>
                <w:color w:val="000000"/>
                <w:u w:val="single"/>
              </w:rPr>
              <w:t>Expected Expiration date for this system:</w:t>
            </w:r>
          </w:p>
          <w:p w:rsidR="002D4224" w:rsidRDefault="002D4224" w:rsidP="00B25D17">
            <w:pPr>
              <w:autoSpaceDE w:val="0"/>
              <w:autoSpaceDN w:val="0"/>
              <w:adjustRightInd w:val="0"/>
              <w:rPr>
                <w:rFonts w:ascii="Arial" w:hAnsi="Arial" w:cs="Arial"/>
                <w:b/>
                <w:bCs/>
                <w:iCs/>
                <w:color w:val="000000"/>
                <w:u w:val="single"/>
              </w:rPr>
            </w:pPr>
          </w:p>
        </w:tc>
      </w:tr>
    </w:tbl>
    <w:p w:rsidR="002D4224" w:rsidRDefault="002D4224" w:rsidP="002D4224">
      <w:pPr>
        <w:rPr>
          <w:sz w:val="24"/>
          <w:szCs w:val="24"/>
          <w:highlight w:val="yellow"/>
        </w:rPr>
      </w:pPr>
    </w:p>
    <w:p w:rsidR="002D4224" w:rsidRPr="00BA37B5" w:rsidRDefault="002D4224" w:rsidP="002D4224">
      <w:pPr>
        <w:rPr>
          <w:b/>
          <w:sz w:val="24"/>
          <w:szCs w:val="24"/>
          <w:u w:val="single"/>
        </w:rPr>
      </w:pPr>
      <w:r w:rsidRPr="00BA37B5">
        <w:rPr>
          <w:b/>
          <w:sz w:val="24"/>
          <w:szCs w:val="24"/>
          <w:u w:val="single"/>
        </w:rPr>
        <w:t>Signatures:</w:t>
      </w:r>
    </w:p>
    <w:p w:rsidR="002D4224" w:rsidRDefault="002D4224" w:rsidP="002D4224">
      <w:pPr>
        <w:rPr>
          <w:sz w:val="24"/>
          <w:szCs w:val="24"/>
        </w:rPr>
      </w:pPr>
    </w:p>
    <w:p w:rsidR="002D4224" w:rsidRDefault="002D4224" w:rsidP="002D4224">
      <w:pPr>
        <w:pStyle w:val="ListParagraph"/>
        <w:numPr>
          <w:ilvl w:val="0"/>
          <w:numId w:val="9"/>
        </w:numPr>
        <w:contextualSpacing w:val="0"/>
        <w:rPr>
          <w:sz w:val="24"/>
          <w:szCs w:val="24"/>
        </w:rPr>
      </w:pPr>
      <w:r>
        <w:rPr>
          <w:sz w:val="24"/>
          <w:szCs w:val="24"/>
        </w:rPr>
        <w:t>Requester:</w:t>
      </w:r>
      <w:r w:rsidRPr="00C1198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br/>
      </w:r>
    </w:p>
    <w:p w:rsidR="002D4224" w:rsidRDefault="002D4224" w:rsidP="002D4224">
      <w:pPr>
        <w:pStyle w:val="ListParagraph"/>
        <w:numPr>
          <w:ilvl w:val="0"/>
          <w:numId w:val="9"/>
        </w:numPr>
        <w:contextualSpacing w:val="0"/>
        <w:rPr>
          <w:sz w:val="24"/>
          <w:szCs w:val="24"/>
        </w:rPr>
      </w:pPr>
      <w:r>
        <w:rPr>
          <w:sz w:val="24"/>
          <w:szCs w:val="24"/>
        </w:rPr>
        <w:t>Immediate supervisor:</w:t>
      </w:r>
      <w:r w:rsidRPr="00C1198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Date:</w:t>
      </w:r>
      <w:r>
        <w:rPr>
          <w:sz w:val="24"/>
          <w:szCs w:val="24"/>
        </w:rPr>
        <w:br/>
      </w:r>
    </w:p>
    <w:p w:rsidR="002D4224" w:rsidRPr="00CA3A90" w:rsidRDefault="002D4224" w:rsidP="002D4224">
      <w:pPr>
        <w:pStyle w:val="ListParagraph"/>
        <w:numPr>
          <w:ilvl w:val="0"/>
          <w:numId w:val="9"/>
        </w:numPr>
        <w:contextualSpacing w:val="0"/>
        <w:rPr>
          <w:sz w:val="24"/>
          <w:szCs w:val="24"/>
        </w:rPr>
      </w:pPr>
      <w:r>
        <w:rPr>
          <w:sz w:val="24"/>
          <w:szCs w:val="24"/>
        </w:rPr>
        <w:t>HOD or USG:</w:t>
      </w:r>
      <w:r w:rsidRPr="00C1198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br/>
      </w:r>
    </w:p>
    <w:p w:rsidR="002D4224" w:rsidRDefault="002D4224" w:rsidP="002D4224">
      <w:pPr>
        <w:pStyle w:val="ListParagraph"/>
        <w:numPr>
          <w:ilvl w:val="0"/>
          <w:numId w:val="9"/>
        </w:numPr>
        <w:contextualSpacing w:val="0"/>
        <w:rPr>
          <w:sz w:val="24"/>
          <w:szCs w:val="24"/>
        </w:rPr>
      </w:pPr>
      <w:r>
        <w:rPr>
          <w:sz w:val="24"/>
          <w:szCs w:val="24"/>
        </w:rPr>
        <w:t>ISD Unit Manager or CIO:</w:t>
      </w:r>
      <w:r w:rsidRPr="006C3D1A">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Date:</w:t>
      </w:r>
    </w:p>
    <w:p w:rsidR="002D4224" w:rsidRDefault="002D4224" w:rsidP="002D4224">
      <w:pPr>
        <w:ind w:left="360"/>
        <w:rPr>
          <w:sz w:val="24"/>
          <w:szCs w:val="24"/>
        </w:rPr>
      </w:pPr>
    </w:p>
    <w:p w:rsidR="002D4224" w:rsidRDefault="002D4224" w:rsidP="002D4224">
      <w:pPr>
        <w:rPr>
          <w:sz w:val="24"/>
          <w:szCs w:val="24"/>
        </w:rPr>
      </w:pPr>
      <w:r w:rsidRPr="00C11986">
        <w:rPr>
          <w:sz w:val="24"/>
          <w:szCs w:val="24"/>
        </w:rPr>
        <w:t>ISD Recommendations:</w:t>
      </w:r>
      <w:r w:rsidRPr="00C11986">
        <w:rPr>
          <w:sz w:val="24"/>
          <w:szCs w:val="24"/>
        </w:rPr>
        <w:br/>
      </w:r>
      <w:r w:rsidRPr="00C11986">
        <w:rPr>
          <w:sz w:val="24"/>
          <w:szCs w:val="24"/>
        </w:rPr>
        <w:br/>
      </w:r>
    </w:p>
    <w:p w:rsidR="002D4224" w:rsidRDefault="002D4224" w:rsidP="002D4224">
      <w:pPr>
        <w:rPr>
          <w:sz w:val="24"/>
          <w:szCs w:val="24"/>
        </w:rPr>
      </w:pPr>
      <w:r>
        <w:rPr>
          <w:sz w:val="24"/>
          <w:szCs w:val="24"/>
        </w:rPr>
        <w:br w:type="page"/>
      </w:r>
    </w:p>
    <w:p w:rsidR="002D4224" w:rsidRPr="00F846B9" w:rsidRDefault="002D4224" w:rsidP="002D4224">
      <w:pPr>
        <w:rPr>
          <w:b/>
          <w:sz w:val="24"/>
          <w:szCs w:val="24"/>
          <w:u w:val="single"/>
        </w:rPr>
      </w:pPr>
      <w:r w:rsidRPr="00F846B9">
        <w:rPr>
          <w:b/>
          <w:sz w:val="24"/>
          <w:szCs w:val="24"/>
          <w:u w:val="single"/>
        </w:rPr>
        <w:lastRenderedPageBreak/>
        <w:t>Checklist</w:t>
      </w:r>
    </w:p>
    <w:p w:rsidR="002D4224" w:rsidRDefault="002D4224" w:rsidP="002D4224">
      <w:pPr>
        <w:pStyle w:val="ListParagraph"/>
        <w:numPr>
          <w:ilvl w:val="0"/>
          <w:numId w:val="10"/>
        </w:numPr>
        <w:contextualSpacing w:val="0"/>
        <w:rPr>
          <w:sz w:val="24"/>
          <w:szCs w:val="24"/>
        </w:rPr>
      </w:pPr>
      <w:r>
        <w:rPr>
          <w:sz w:val="24"/>
          <w:szCs w:val="24"/>
        </w:rPr>
        <w:t>T</w:t>
      </w:r>
      <w:r w:rsidRPr="002C2448">
        <w:rPr>
          <w:sz w:val="24"/>
          <w:szCs w:val="24"/>
        </w:rPr>
        <w:t xml:space="preserve">he business and functional needs for this request </w:t>
      </w:r>
      <w:r>
        <w:rPr>
          <w:sz w:val="24"/>
          <w:szCs w:val="24"/>
        </w:rPr>
        <w:t xml:space="preserve">has </w:t>
      </w:r>
      <w:r w:rsidRPr="002C2448">
        <w:rPr>
          <w:sz w:val="24"/>
          <w:szCs w:val="24"/>
        </w:rPr>
        <w:t>been reviewed with your manager</w:t>
      </w:r>
      <w:r>
        <w:rPr>
          <w:sz w:val="24"/>
          <w:szCs w:val="24"/>
        </w:rPr>
        <w:t>.</w:t>
      </w:r>
    </w:p>
    <w:p w:rsidR="002D4224" w:rsidRDefault="002D4224" w:rsidP="002D4224">
      <w:pPr>
        <w:pStyle w:val="ListParagraph"/>
        <w:numPr>
          <w:ilvl w:val="0"/>
          <w:numId w:val="10"/>
        </w:numPr>
        <w:contextualSpacing w:val="0"/>
        <w:rPr>
          <w:sz w:val="24"/>
          <w:szCs w:val="24"/>
        </w:rPr>
      </w:pPr>
      <w:r>
        <w:rPr>
          <w:sz w:val="24"/>
          <w:szCs w:val="24"/>
        </w:rPr>
        <w:t>T</w:t>
      </w:r>
      <w:r w:rsidRPr="002C2448">
        <w:rPr>
          <w:sz w:val="24"/>
          <w:szCs w:val="24"/>
        </w:rPr>
        <w:t xml:space="preserve">he business and functional needs for this request </w:t>
      </w:r>
      <w:r>
        <w:rPr>
          <w:sz w:val="24"/>
          <w:szCs w:val="24"/>
        </w:rPr>
        <w:t xml:space="preserve">has </w:t>
      </w:r>
      <w:r w:rsidRPr="002C2448">
        <w:rPr>
          <w:sz w:val="24"/>
          <w:szCs w:val="24"/>
        </w:rPr>
        <w:t>been reviewed with an ISD manager</w:t>
      </w:r>
      <w:r>
        <w:rPr>
          <w:sz w:val="24"/>
          <w:szCs w:val="24"/>
        </w:rPr>
        <w:t>.</w:t>
      </w:r>
      <w:r w:rsidRPr="00BA37B5">
        <w:rPr>
          <w:sz w:val="24"/>
          <w:szCs w:val="24"/>
        </w:rPr>
        <w:t xml:space="preserve"> </w:t>
      </w:r>
      <w:r w:rsidRPr="00FB482C">
        <w:rPr>
          <w:sz w:val="24"/>
          <w:szCs w:val="24"/>
        </w:rPr>
        <w:t>Please provide some details on this contact…</w:t>
      </w:r>
      <w:r w:rsidRPr="00FB482C">
        <w:rPr>
          <w:sz w:val="24"/>
          <w:szCs w:val="24"/>
        </w:rPr>
        <w:br/>
      </w:r>
      <w:r>
        <w:rPr>
          <w:sz w:val="24"/>
          <w:szCs w:val="24"/>
        </w:rPr>
        <w:t>___________________________________________________________________</w:t>
      </w:r>
    </w:p>
    <w:p w:rsidR="002D4224" w:rsidRDefault="002D4224" w:rsidP="002D4224">
      <w:pPr>
        <w:pStyle w:val="ListParagraph"/>
        <w:rPr>
          <w:sz w:val="24"/>
          <w:szCs w:val="24"/>
        </w:rPr>
      </w:pPr>
      <w:r>
        <w:rPr>
          <w:sz w:val="24"/>
          <w:szCs w:val="24"/>
        </w:rPr>
        <w:t>___________________________________________________________________</w:t>
      </w:r>
      <w:r>
        <w:rPr>
          <w:sz w:val="24"/>
          <w:szCs w:val="24"/>
        </w:rPr>
        <w:br/>
      </w:r>
    </w:p>
    <w:p w:rsidR="002D4224" w:rsidRDefault="002D4224" w:rsidP="002D4224">
      <w:pPr>
        <w:pStyle w:val="ListParagraph"/>
        <w:numPr>
          <w:ilvl w:val="0"/>
          <w:numId w:val="10"/>
        </w:numPr>
        <w:contextualSpacing w:val="0"/>
        <w:rPr>
          <w:sz w:val="24"/>
          <w:szCs w:val="24"/>
        </w:rPr>
      </w:pPr>
      <w:r>
        <w:rPr>
          <w:sz w:val="24"/>
          <w:szCs w:val="24"/>
        </w:rPr>
        <w:t>A business requirement cannot be satisfactorily met within existing systems landscape of IT solutions (Please refer to IT Applications Catalogue available on FedNet).</w:t>
      </w:r>
    </w:p>
    <w:p w:rsidR="002D4224" w:rsidRDefault="002D4224" w:rsidP="002D4224">
      <w:pPr>
        <w:pStyle w:val="ListParagraph"/>
        <w:numPr>
          <w:ilvl w:val="0"/>
          <w:numId w:val="10"/>
        </w:numPr>
        <w:contextualSpacing w:val="0"/>
        <w:rPr>
          <w:sz w:val="24"/>
          <w:szCs w:val="24"/>
        </w:rPr>
      </w:pPr>
      <w:r>
        <w:rPr>
          <w:sz w:val="24"/>
          <w:szCs w:val="24"/>
        </w:rPr>
        <w:t xml:space="preserve">The requestor or ISD contact verified there is no current initiative (project) to meet this requirement in reasonable time-frame (Please refer to </w:t>
      </w:r>
      <w:hyperlink r:id="rId14" w:history="1">
        <w:r w:rsidRPr="00414693">
          <w:rPr>
            <w:rStyle w:val="Hyperlink"/>
            <w:sz w:val="24"/>
            <w:szCs w:val="24"/>
          </w:rPr>
          <w:t>ISD Projects Portfolio</w:t>
        </w:r>
      </w:hyperlink>
      <w:r>
        <w:rPr>
          <w:sz w:val="24"/>
          <w:szCs w:val="24"/>
        </w:rPr>
        <w:t xml:space="preserve"> available with the Manager – IS Applications Unit).</w:t>
      </w:r>
    </w:p>
    <w:p w:rsidR="002D4224" w:rsidRPr="00FB482C" w:rsidRDefault="002D4224" w:rsidP="002D4224">
      <w:pPr>
        <w:pStyle w:val="ListParagraph"/>
        <w:numPr>
          <w:ilvl w:val="0"/>
          <w:numId w:val="10"/>
        </w:numPr>
        <w:contextualSpacing w:val="0"/>
        <w:rPr>
          <w:sz w:val="24"/>
          <w:szCs w:val="24"/>
        </w:rPr>
      </w:pPr>
      <w:r>
        <w:rPr>
          <w:sz w:val="24"/>
          <w:szCs w:val="24"/>
        </w:rPr>
        <w:t xml:space="preserve">The requestor or ISD contact reviewed the </w:t>
      </w:r>
      <w:hyperlink r:id="rId15" w:history="1">
        <w:r w:rsidRPr="00414693">
          <w:rPr>
            <w:rStyle w:val="Hyperlink"/>
            <w:sz w:val="24"/>
            <w:szCs w:val="24"/>
          </w:rPr>
          <w:t>IT Applications I</w:t>
        </w:r>
        <w:r>
          <w:rPr>
            <w:rStyle w:val="Hyperlink"/>
            <w:sz w:val="24"/>
            <w:szCs w:val="24"/>
          </w:rPr>
          <w:t>n</w:t>
        </w:r>
        <w:r w:rsidRPr="00414693">
          <w:rPr>
            <w:rStyle w:val="Hyperlink"/>
            <w:sz w:val="24"/>
            <w:szCs w:val="24"/>
          </w:rPr>
          <w:t>ventory</w:t>
        </w:r>
      </w:hyperlink>
      <w:r>
        <w:rPr>
          <w:sz w:val="24"/>
          <w:szCs w:val="24"/>
        </w:rPr>
        <w:t xml:space="preserve"> (available on FedNet) to consider solutions used within the Movement with opportunities to “</w:t>
      </w:r>
      <w:hyperlink r:id="rId16" w:history="1">
        <w:r w:rsidRPr="00414693">
          <w:rPr>
            <w:rStyle w:val="Hyperlink"/>
            <w:sz w:val="24"/>
            <w:szCs w:val="24"/>
          </w:rPr>
          <w:t>discover &amp; harvest</w:t>
        </w:r>
      </w:hyperlink>
      <w:r>
        <w:rPr>
          <w:sz w:val="24"/>
          <w:szCs w:val="24"/>
        </w:rPr>
        <w:t>”</w:t>
      </w:r>
    </w:p>
    <w:p w:rsidR="002D4224" w:rsidRDefault="002D4224" w:rsidP="002D4224">
      <w:pPr>
        <w:pStyle w:val="ListParagraph"/>
        <w:numPr>
          <w:ilvl w:val="0"/>
          <w:numId w:val="10"/>
        </w:numPr>
        <w:contextualSpacing w:val="0"/>
        <w:rPr>
          <w:sz w:val="24"/>
          <w:szCs w:val="24"/>
        </w:rPr>
      </w:pPr>
      <w:r>
        <w:rPr>
          <w:sz w:val="24"/>
          <w:szCs w:val="24"/>
        </w:rPr>
        <w:t>The plan to build a local solution has a reasonable investment. This may be considered as a stop-gap solution that has a very short Return-on-Investment.</w:t>
      </w:r>
    </w:p>
    <w:p w:rsidR="002D4224" w:rsidRPr="00BA37B5" w:rsidRDefault="002D4224" w:rsidP="002D4224">
      <w:pPr>
        <w:pStyle w:val="ListParagraph"/>
        <w:numPr>
          <w:ilvl w:val="0"/>
          <w:numId w:val="10"/>
        </w:numPr>
        <w:contextualSpacing w:val="0"/>
        <w:rPr>
          <w:sz w:val="24"/>
          <w:szCs w:val="24"/>
        </w:rPr>
      </w:pPr>
      <w:r w:rsidRPr="00F01C8F">
        <w:rPr>
          <w:sz w:val="24"/>
          <w:szCs w:val="24"/>
        </w:rPr>
        <w:t>The proposed solution will be made available for other potential users in the Federation</w:t>
      </w:r>
      <w:r>
        <w:rPr>
          <w:sz w:val="24"/>
          <w:szCs w:val="24"/>
        </w:rPr>
        <w:t xml:space="preserve"> via the Technology Catalogue</w:t>
      </w:r>
      <w:r w:rsidRPr="00F01C8F">
        <w:rPr>
          <w:sz w:val="24"/>
          <w:szCs w:val="24"/>
        </w:rPr>
        <w:t>.</w:t>
      </w:r>
      <w:r>
        <w:rPr>
          <w:sz w:val="24"/>
          <w:szCs w:val="24"/>
        </w:rPr>
        <w:t xml:space="preserve">  (Are there license restrictions / costs?)</w:t>
      </w:r>
      <w:r>
        <w:rPr>
          <w:sz w:val="24"/>
          <w:szCs w:val="24"/>
        </w:rPr>
        <w:br/>
        <w:t>___________________________________________________________________</w:t>
      </w:r>
      <w:r>
        <w:rPr>
          <w:sz w:val="24"/>
          <w:szCs w:val="24"/>
        </w:rPr>
        <w:br/>
      </w:r>
      <w:r w:rsidRPr="00F01C8F">
        <w:rPr>
          <w:sz w:val="24"/>
          <w:szCs w:val="24"/>
        </w:rPr>
        <w:t>___________________________________________________________________</w:t>
      </w:r>
    </w:p>
    <w:p w:rsidR="002D4224" w:rsidRDefault="002D4224" w:rsidP="002D4224">
      <w:pPr>
        <w:pStyle w:val="ListParagraph"/>
        <w:numPr>
          <w:ilvl w:val="0"/>
          <w:numId w:val="10"/>
        </w:numPr>
        <w:contextualSpacing w:val="0"/>
        <w:rPr>
          <w:sz w:val="24"/>
          <w:szCs w:val="24"/>
        </w:rPr>
      </w:pPr>
      <w:r>
        <w:rPr>
          <w:sz w:val="24"/>
          <w:szCs w:val="24"/>
        </w:rPr>
        <w:t>The data captured in the proposed solution can be recovered or transferred to another institutional solution, if required.</w:t>
      </w:r>
    </w:p>
    <w:p w:rsidR="002D4224" w:rsidRDefault="002D4224" w:rsidP="002D4224">
      <w:pPr>
        <w:pStyle w:val="ListParagraph"/>
        <w:numPr>
          <w:ilvl w:val="0"/>
          <w:numId w:val="10"/>
        </w:numPr>
        <w:contextualSpacing w:val="0"/>
        <w:rPr>
          <w:sz w:val="24"/>
          <w:szCs w:val="24"/>
        </w:rPr>
      </w:pPr>
      <w:r>
        <w:rPr>
          <w:sz w:val="24"/>
          <w:szCs w:val="24"/>
        </w:rPr>
        <w:t>All costs are fully covered by the requestor, including hosting, training and support contracts for the life-time of proposed system.</w:t>
      </w:r>
    </w:p>
    <w:p w:rsidR="002D4224" w:rsidRDefault="002D4224" w:rsidP="002D4224">
      <w:pPr>
        <w:pStyle w:val="ListParagraph"/>
        <w:numPr>
          <w:ilvl w:val="0"/>
          <w:numId w:val="10"/>
        </w:numPr>
        <w:contextualSpacing w:val="0"/>
        <w:rPr>
          <w:sz w:val="24"/>
          <w:szCs w:val="24"/>
        </w:rPr>
      </w:pPr>
      <w:r w:rsidRPr="00414693">
        <w:rPr>
          <w:sz w:val="24"/>
          <w:szCs w:val="24"/>
        </w:rPr>
        <w:t xml:space="preserve">If the new system is based on a non-standard architecture, the system is completely hosted and supported by a service provider, and all costs covered by </w:t>
      </w:r>
      <w:r>
        <w:rPr>
          <w:sz w:val="24"/>
          <w:szCs w:val="24"/>
        </w:rPr>
        <w:t xml:space="preserve">the </w:t>
      </w:r>
      <w:r w:rsidRPr="00414693">
        <w:rPr>
          <w:sz w:val="24"/>
          <w:szCs w:val="24"/>
        </w:rPr>
        <w:t>requestor.</w:t>
      </w:r>
    </w:p>
    <w:p w:rsidR="002D4224" w:rsidRDefault="002D4224" w:rsidP="002D4224">
      <w:pPr>
        <w:pStyle w:val="ListParagraph"/>
        <w:numPr>
          <w:ilvl w:val="0"/>
          <w:numId w:val="10"/>
        </w:numPr>
        <w:contextualSpacing w:val="0"/>
        <w:rPr>
          <w:sz w:val="24"/>
          <w:szCs w:val="24"/>
        </w:rPr>
      </w:pPr>
      <w:r>
        <w:rPr>
          <w:sz w:val="24"/>
          <w:szCs w:val="24"/>
        </w:rPr>
        <w:t>Th</w:t>
      </w:r>
      <w:r w:rsidRPr="002C2448">
        <w:rPr>
          <w:sz w:val="24"/>
          <w:szCs w:val="24"/>
        </w:rPr>
        <w:t xml:space="preserve">e technology </w:t>
      </w:r>
      <w:r>
        <w:rPr>
          <w:sz w:val="24"/>
          <w:szCs w:val="24"/>
        </w:rPr>
        <w:t xml:space="preserve">is </w:t>
      </w:r>
      <w:r w:rsidRPr="002C2448">
        <w:rPr>
          <w:sz w:val="24"/>
          <w:szCs w:val="24"/>
        </w:rPr>
        <w:t>stand-alone, not requiring input f</w:t>
      </w:r>
      <w:r>
        <w:rPr>
          <w:sz w:val="24"/>
          <w:szCs w:val="24"/>
        </w:rPr>
        <w:t>rom, or output to other systems.</w:t>
      </w:r>
    </w:p>
    <w:p w:rsidR="002D4224" w:rsidRDefault="002D4224" w:rsidP="002D4224">
      <w:pPr>
        <w:pStyle w:val="ListParagraph"/>
        <w:numPr>
          <w:ilvl w:val="0"/>
          <w:numId w:val="10"/>
        </w:numPr>
        <w:contextualSpacing w:val="0"/>
        <w:rPr>
          <w:sz w:val="24"/>
          <w:szCs w:val="24"/>
        </w:rPr>
      </w:pPr>
      <w:r>
        <w:rPr>
          <w:sz w:val="24"/>
          <w:szCs w:val="24"/>
        </w:rPr>
        <w:t>Documentation on the system will be provided to ISD upon completion of the project</w:t>
      </w:r>
    </w:p>
    <w:p w:rsidR="002D4224" w:rsidRDefault="002D4224" w:rsidP="002D4224">
      <w:pPr>
        <w:pStyle w:val="ListParagraph"/>
        <w:numPr>
          <w:ilvl w:val="0"/>
          <w:numId w:val="10"/>
        </w:numPr>
        <w:contextualSpacing w:val="0"/>
        <w:rPr>
          <w:sz w:val="24"/>
          <w:szCs w:val="24"/>
        </w:rPr>
      </w:pPr>
      <w:r>
        <w:rPr>
          <w:sz w:val="24"/>
          <w:szCs w:val="24"/>
        </w:rPr>
        <w:t xml:space="preserve">A </w:t>
      </w:r>
      <w:r w:rsidRPr="002C2448">
        <w:rPr>
          <w:sz w:val="24"/>
          <w:szCs w:val="24"/>
        </w:rPr>
        <w:t xml:space="preserve">written evaluation of the pilot or project </w:t>
      </w:r>
      <w:r>
        <w:rPr>
          <w:sz w:val="24"/>
          <w:szCs w:val="24"/>
        </w:rPr>
        <w:t xml:space="preserve">will be </w:t>
      </w:r>
      <w:r w:rsidRPr="002C2448">
        <w:rPr>
          <w:sz w:val="24"/>
          <w:szCs w:val="24"/>
        </w:rPr>
        <w:t>provided to ISD</w:t>
      </w:r>
    </w:p>
    <w:p w:rsidR="002D4224" w:rsidRDefault="002D4224" w:rsidP="002D4224">
      <w:pPr>
        <w:ind w:left="360"/>
        <w:rPr>
          <w:sz w:val="24"/>
          <w:szCs w:val="24"/>
        </w:rPr>
      </w:pPr>
    </w:p>
    <w:p w:rsidR="002D4224" w:rsidRDefault="002D4224" w:rsidP="002D4224">
      <w:pPr>
        <w:ind w:left="360"/>
        <w:rPr>
          <w:sz w:val="24"/>
          <w:szCs w:val="24"/>
        </w:rPr>
      </w:pPr>
      <w:r>
        <w:rPr>
          <w:sz w:val="24"/>
          <w:szCs w:val="24"/>
        </w:rPr>
        <w:t>If any of the above items is not checked, please provide additional information on why not?</w:t>
      </w:r>
    </w:p>
    <w:p w:rsidR="002D4224" w:rsidRDefault="002D4224" w:rsidP="002D4224">
      <w:pPr>
        <w:ind w:left="360"/>
        <w:rPr>
          <w:sz w:val="24"/>
          <w:szCs w:val="24"/>
        </w:rPr>
      </w:pPr>
    </w:p>
    <w:p w:rsidR="002D4224" w:rsidRDefault="002D4224" w:rsidP="002D4224">
      <w:pPr>
        <w:ind w:left="360"/>
        <w:rPr>
          <w:sz w:val="24"/>
          <w:szCs w:val="24"/>
        </w:rPr>
      </w:pPr>
    </w:p>
    <w:p w:rsidR="002D4224" w:rsidRDefault="002D4224" w:rsidP="002D4224">
      <w:pPr>
        <w:ind w:left="360"/>
        <w:rPr>
          <w:sz w:val="24"/>
          <w:szCs w:val="24"/>
        </w:rPr>
      </w:pPr>
    </w:p>
    <w:p w:rsidR="002D4224" w:rsidRPr="003A58BD" w:rsidRDefault="002D4224" w:rsidP="002D4224">
      <w:pPr>
        <w:ind w:left="360"/>
        <w:rPr>
          <w:sz w:val="24"/>
          <w:szCs w:val="24"/>
        </w:rPr>
      </w:pPr>
    </w:p>
    <w:p w:rsidR="002D4224" w:rsidRPr="00BA37B5" w:rsidRDefault="002D4224" w:rsidP="002D4224">
      <w:pPr>
        <w:ind w:left="360"/>
        <w:rPr>
          <w:sz w:val="24"/>
          <w:szCs w:val="24"/>
        </w:rPr>
      </w:pPr>
      <w:r>
        <w:rPr>
          <w:sz w:val="24"/>
          <w:szCs w:val="24"/>
        </w:rPr>
        <w:t>ISD will assist the Requestor, where possible, in choosing/designing the proposed solution in view of longer-term objectives. The Requestor may also refer to the ISD standards for all software development or procurement initiatives, including:</w:t>
      </w:r>
    </w:p>
    <w:p w:rsidR="002D4224" w:rsidRPr="003A58BD" w:rsidRDefault="002D4224" w:rsidP="002D4224">
      <w:pPr>
        <w:pStyle w:val="ListParagraph"/>
        <w:numPr>
          <w:ilvl w:val="0"/>
          <w:numId w:val="11"/>
        </w:numPr>
        <w:contextualSpacing w:val="0"/>
        <w:rPr>
          <w:sz w:val="24"/>
          <w:szCs w:val="24"/>
        </w:rPr>
      </w:pPr>
      <w:r w:rsidRPr="003A58BD">
        <w:rPr>
          <w:sz w:val="24"/>
          <w:szCs w:val="24"/>
        </w:rPr>
        <w:t>Commercial software selection policy (document 78, available on FedNet under “</w:t>
      </w:r>
      <w:hyperlink r:id="rId17" w:history="1">
        <w:r w:rsidRPr="003A58BD">
          <w:rPr>
            <w:rStyle w:val="Hyperlink"/>
            <w:sz w:val="24"/>
            <w:szCs w:val="24"/>
          </w:rPr>
          <w:t>Secretariat management policies, processes and procedures</w:t>
        </w:r>
      </w:hyperlink>
      <w:r w:rsidRPr="003A58BD">
        <w:rPr>
          <w:sz w:val="24"/>
          <w:szCs w:val="24"/>
        </w:rPr>
        <w:t>”).</w:t>
      </w:r>
    </w:p>
    <w:p w:rsidR="002D4224" w:rsidRPr="003A58BD" w:rsidRDefault="002D4224" w:rsidP="002D4224">
      <w:pPr>
        <w:pStyle w:val="ListParagraph"/>
        <w:numPr>
          <w:ilvl w:val="0"/>
          <w:numId w:val="11"/>
        </w:numPr>
        <w:contextualSpacing w:val="0"/>
        <w:rPr>
          <w:sz w:val="24"/>
          <w:szCs w:val="24"/>
        </w:rPr>
      </w:pPr>
      <w:r w:rsidRPr="003A58BD">
        <w:rPr>
          <w:sz w:val="24"/>
          <w:szCs w:val="24"/>
        </w:rPr>
        <w:lastRenderedPageBreak/>
        <w:t>Electronic Information Security policy (document 75, available on FedNet under “</w:t>
      </w:r>
      <w:hyperlink r:id="rId18" w:history="1">
        <w:r w:rsidRPr="003A58BD">
          <w:rPr>
            <w:rStyle w:val="Hyperlink"/>
            <w:sz w:val="24"/>
            <w:szCs w:val="24"/>
          </w:rPr>
          <w:t>Secretariat management policies, processes and procedures</w:t>
        </w:r>
      </w:hyperlink>
      <w:r w:rsidRPr="003A58BD">
        <w:rPr>
          <w:sz w:val="24"/>
          <w:szCs w:val="24"/>
        </w:rPr>
        <w:t>”).</w:t>
      </w:r>
    </w:p>
    <w:p w:rsidR="002D4224" w:rsidRPr="003A58BD" w:rsidRDefault="002D4224" w:rsidP="002D4224">
      <w:pPr>
        <w:pStyle w:val="ListParagraph"/>
        <w:numPr>
          <w:ilvl w:val="0"/>
          <w:numId w:val="11"/>
        </w:numPr>
        <w:contextualSpacing w:val="0"/>
        <w:rPr>
          <w:sz w:val="24"/>
          <w:szCs w:val="24"/>
        </w:rPr>
      </w:pPr>
      <w:r w:rsidRPr="003A58BD">
        <w:rPr>
          <w:sz w:val="24"/>
          <w:szCs w:val="24"/>
        </w:rPr>
        <w:t>Non-functional requirements document (Please refer to the latest version of “</w:t>
      </w:r>
      <w:hyperlink r:id="rId19" w:history="1">
        <w:r w:rsidRPr="003A58BD">
          <w:rPr>
            <w:rStyle w:val="Hyperlink"/>
            <w:sz w:val="24"/>
            <w:szCs w:val="24"/>
          </w:rPr>
          <w:t>IFRC non-functional requirements</w:t>
        </w:r>
      </w:hyperlink>
      <w:r w:rsidRPr="003A58BD">
        <w:rPr>
          <w:sz w:val="24"/>
          <w:szCs w:val="24"/>
        </w:rPr>
        <w:t>” available with Manager – IS Application or posted on FedTeam)</w:t>
      </w:r>
    </w:p>
    <w:p w:rsidR="002D4224" w:rsidRPr="003A58BD" w:rsidRDefault="002D4224" w:rsidP="002D4224">
      <w:pPr>
        <w:pStyle w:val="ListParagraph"/>
        <w:numPr>
          <w:ilvl w:val="0"/>
          <w:numId w:val="11"/>
        </w:numPr>
        <w:contextualSpacing w:val="0"/>
        <w:rPr>
          <w:sz w:val="24"/>
          <w:szCs w:val="24"/>
        </w:rPr>
      </w:pPr>
      <w:r w:rsidRPr="003A58BD">
        <w:rPr>
          <w:sz w:val="24"/>
          <w:szCs w:val="24"/>
        </w:rPr>
        <w:t>“</w:t>
      </w:r>
      <w:hyperlink r:id="rId20" w:history="1">
        <w:r w:rsidRPr="003A58BD">
          <w:rPr>
            <w:rStyle w:val="Hyperlink"/>
            <w:sz w:val="24"/>
            <w:szCs w:val="24"/>
          </w:rPr>
          <w:t>Web User Interface</w:t>
        </w:r>
      </w:hyperlink>
      <w:r w:rsidRPr="003A58BD">
        <w:rPr>
          <w:sz w:val="24"/>
          <w:szCs w:val="24"/>
        </w:rPr>
        <w:t>” policy and the “</w:t>
      </w:r>
      <w:hyperlink r:id="rId21" w:history="1">
        <w:r w:rsidRPr="003A58BD">
          <w:rPr>
            <w:rStyle w:val="Hyperlink"/>
            <w:sz w:val="24"/>
            <w:szCs w:val="24"/>
          </w:rPr>
          <w:t>Website Application Branding and Design Guidelines</w:t>
        </w:r>
      </w:hyperlink>
      <w:r w:rsidRPr="003A58BD">
        <w:rPr>
          <w:sz w:val="24"/>
          <w:szCs w:val="24"/>
        </w:rPr>
        <w:t>” documented (Please refer to the latest versions available with Manager – IS Application or posted on FedTeam)</w:t>
      </w:r>
    </w:p>
    <w:p w:rsidR="002D4224" w:rsidRPr="003A58BD" w:rsidRDefault="002D4224" w:rsidP="002D4224">
      <w:pPr>
        <w:pStyle w:val="ListParagraph"/>
        <w:numPr>
          <w:ilvl w:val="0"/>
          <w:numId w:val="11"/>
        </w:numPr>
        <w:contextualSpacing w:val="0"/>
        <w:rPr>
          <w:sz w:val="24"/>
          <w:szCs w:val="24"/>
        </w:rPr>
      </w:pPr>
      <w:r w:rsidRPr="003A58BD">
        <w:rPr>
          <w:sz w:val="24"/>
          <w:szCs w:val="24"/>
        </w:rPr>
        <w:t>“</w:t>
      </w:r>
      <w:hyperlink r:id="rId22" w:history="1">
        <w:r w:rsidRPr="003A58BD">
          <w:rPr>
            <w:rStyle w:val="Hyperlink"/>
            <w:sz w:val="24"/>
            <w:szCs w:val="24"/>
          </w:rPr>
          <w:t>ISD Systems Architecture - Current Standards</w:t>
        </w:r>
      </w:hyperlink>
      <w:r w:rsidRPr="003A58BD">
        <w:rPr>
          <w:sz w:val="24"/>
          <w:szCs w:val="24"/>
        </w:rPr>
        <w:t>” available with Manager – IS Applications or posted on FedTeam).</w:t>
      </w:r>
    </w:p>
    <w:p w:rsidR="002D4224" w:rsidRDefault="002D4224" w:rsidP="002D4224">
      <w:pPr>
        <w:rPr>
          <w:sz w:val="24"/>
          <w:szCs w:val="24"/>
        </w:rPr>
      </w:pPr>
    </w:p>
    <w:p w:rsidR="002D4224" w:rsidRPr="003E26F5" w:rsidRDefault="002D4224" w:rsidP="002D4224">
      <w:pPr>
        <w:ind w:left="360"/>
        <w:rPr>
          <w:sz w:val="24"/>
          <w:szCs w:val="24"/>
        </w:rPr>
      </w:pPr>
      <w:r>
        <w:rPr>
          <w:sz w:val="24"/>
          <w:szCs w:val="24"/>
        </w:rPr>
        <w:t>Are there any other considerations to considering this exception request?</w:t>
      </w:r>
    </w:p>
    <w:p w:rsidR="002D4224" w:rsidRDefault="002D4224">
      <w:pPr>
        <w:spacing w:after="200" w:line="276" w:lineRule="auto"/>
      </w:pPr>
    </w:p>
    <w:sectPr w:rsidR="002D422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DD" w:rsidRDefault="00E678DD" w:rsidP="006B1340">
      <w:r>
        <w:separator/>
      </w:r>
    </w:p>
  </w:endnote>
  <w:endnote w:type="continuationSeparator" w:id="0">
    <w:p w:rsidR="00E678DD" w:rsidRDefault="00E678DD" w:rsidP="006B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3807"/>
      <w:docPartObj>
        <w:docPartGallery w:val="Page Numbers (Bottom of Page)"/>
        <w:docPartUnique/>
      </w:docPartObj>
    </w:sdtPr>
    <w:sdtEndPr>
      <w:rPr>
        <w:color w:val="808080" w:themeColor="background1" w:themeShade="80"/>
        <w:spacing w:val="60"/>
      </w:rPr>
    </w:sdtEndPr>
    <w:sdtContent>
      <w:p w:rsidR="00B25D17" w:rsidRDefault="00B25D1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3FAC">
          <w:rPr>
            <w:noProof/>
          </w:rPr>
          <w:t>1</w:t>
        </w:r>
        <w:r>
          <w:rPr>
            <w:noProof/>
          </w:rPr>
          <w:fldChar w:fldCharType="end"/>
        </w:r>
        <w:r>
          <w:t xml:space="preserve"> | </w:t>
        </w:r>
        <w:r>
          <w:rPr>
            <w:color w:val="808080" w:themeColor="background1" w:themeShade="80"/>
            <w:spacing w:val="60"/>
          </w:rPr>
          <w:t>Page</w:t>
        </w:r>
      </w:p>
    </w:sdtContent>
  </w:sdt>
  <w:p w:rsidR="00B25D17" w:rsidRDefault="00B25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DD" w:rsidRDefault="00E678DD" w:rsidP="006B1340">
      <w:r>
        <w:separator/>
      </w:r>
    </w:p>
  </w:footnote>
  <w:footnote w:type="continuationSeparator" w:id="0">
    <w:p w:rsidR="00E678DD" w:rsidRDefault="00E678DD" w:rsidP="006B1340">
      <w:r>
        <w:continuationSeparator/>
      </w:r>
    </w:p>
  </w:footnote>
  <w:footnote w:id="1">
    <w:p w:rsidR="00B25D17" w:rsidRDefault="00B25D17">
      <w:pPr>
        <w:pStyle w:val="FootnoteText"/>
      </w:pPr>
      <w:r>
        <w:rPr>
          <w:rStyle w:val="FootnoteReference"/>
        </w:rPr>
        <w:footnoteRef/>
      </w:r>
      <w:r>
        <w:t xml:space="preserve"> The “Discover and Harvest” approach to technology was introduced in May, 2010 in my article of the same title: </w:t>
      </w:r>
      <w:hyperlink r:id="rId1" w:history="1">
        <w:r>
          <w:rPr>
            <w:rStyle w:val="Hyperlink"/>
          </w:rPr>
          <w:t>http://eghapp.blogspot.ch/2010/05/discover-and-harvest.html</w:t>
        </w:r>
      </w:hyperlink>
    </w:p>
  </w:footnote>
  <w:footnote w:id="2">
    <w:p w:rsidR="00B25D17" w:rsidRDefault="00B25D17">
      <w:pPr>
        <w:pStyle w:val="FootnoteText"/>
      </w:pPr>
      <w:r>
        <w:rPr>
          <w:rStyle w:val="FootnoteReference"/>
        </w:rPr>
        <w:footnoteRef/>
      </w:r>
      <w:r>
        <w:t xml:space="preserve"> See Appendix 1 for WDR innovations data</w:t>
      </w:r>
    </w:p>
  </w:footnote>
  <w:footnote w:id="3">
    <w:p w:rsidR="00B25D17" w:rsidRDefault="00B25D17" w:rsidP="006B1C1C">
      <w:pPr>
        <w:pStyle w:val="FootnoteText"/>
      </w:pPr>
      <w:r>
        <w:rPr>
          <w:rStyle w:val="FootnoteReference"/>
        </w:rPr>
        <w:footnoteRef/>
      </w:r>
      <w:r>
        <w:t xml:space="preserve"> See Appendix 2 for the WDR case data</w:t>
      </w:r>
    </w:p>
  </w:footnote>
  <w:footnote w:id="4">
    <w:p w:rsidR="00B25D17" w:rsidRDefault="00B25D17" w:rsidP="006B1C1C">
      <w:pPr>
        <w:pStyle w:val="FootnoteText"/>
      </w:pPr>
      <w:r>
        <w:rPr>
          <w:rStyle w:val="FootnoteReference"/>
        </w:rPr>
        <w:footnoteRef/>
      </w:r>
      <w:r>
        <w:t xml:space="preserve"> See Appendix 3 for the WDR references data</w:t>
      </w:r>
    </w:p>
  </w:footnote>
  <w:footnote w:id="5">
    <w:p w:rsidR="00B25D17" w:rsidRDefault="00B25D17">
      <w:pPr>
        <w:pStyle w:val="FootnoteText"/>
      </w:pPr>
      <w:r>
        <w:rPr>
          <w:rStyle w:val="FootnoteReference"/>
        </w:rPr>
        <w:footnoteRef/>
      </w:r>
      <w:r>
        <w:t xml:space="preserve"> “</w:t>
      </w:r>
      <w:r w:rsidRPr="003C31FF">
        <w:t>Shadow IT is hardware or software within an enterprise that is not supported by the organization’s central IT department. Although the label itself is neutral, the term often carries a negative connotation because it implies that the IT department has not approved the technology or doesn’t even know that employees are using it.</w:t>
      </w:r>
      <w:r>
        <w:t xml:space="preserve">” </w:t>
      </w:r>
      <w:hyperlink r:id="rId2" w:history="1">
        <w:r w:rsidRPr="000B0CBB">
          <w:rPr>
            <w:rStyle w:val="Hyperlink"/>
          </w:rPr>
          <w:t>http://searchcloudcomputing.techtarget.com/definition/shadow-IT-shadow-information-technology</w:t>
        </w:r>
      </w:hyperlink>
      <w:r>
        <w:t xml:space="preserve"> </w:t>
      </w:r>
    </w:p>
  </w:footnote>
  <w:footnote w:id="6">
    <w:p w:rsidR="00B25D17" w:rsidRDefault="00B25D17">
      <w:pPr>
        <w:pStyle w:val="FootnoteText"/>
      </w:pPr>
      <w:r>
        <w:rPr>
          <w:rStyle w:val="FootnoteReference"/>
        </w:rPr>
        <w:footnoteRef/>
      </w:r>
      <w:r>
        <w:t xml:space="preserve"> Assuming 3 applications created per Zones/Delegations plus GVA departments, yields 18 apps versus a portfolio of 60 apps in GVA-ISD</w:t>
      </w:r>
      <w:r w:rsidR="005B1A45">
        <w:t>. 23% of the 3M ISD Project Budget is 690K CHF.</w:t>
      </w:r>
    </w:p>
  </w:footnote>
  <w:footnote w:id="7">
    <w:p w:rsidR="00B25D17" w:rsidRDefault="00B25D17">
      <w:pPr>
        <w:pStyle w:val="FootnoteText"/>
      </w:pPr>
      <w:r>
        <w:rPr>
          <w:rStyle w:val="FootnoteReference"/>
        </w:rPr>
        <w:footnoteRef/>
      </w:r>
      <w:r>
        <w:t xml:space="preserve"> Wikipedia entry on “Shadow IT”, here:  </w:t>
      </w:r>
      <w:hyperlink r:id="rId3" w:history="1">
        <w:r>
          <w:rPr>
            <w:rStyle w:val="Hyperlink"/>
          </w:rPr>
          <w:t>http://en.wikipedia.org/wiki/Shadow_IT</w:t>
        </w:r>
      </w:hyperlink>
      <w:r>
        <w:t xml:space="preserve"> .  </w:t>
      </w:r>
      <w:r w:rsidRPr="00054F27">
        <w:t xml:space="preserve">Also compare the </w:t>
      </w:r>
      <w:r w:rsidRPr="00054F27">
        <w:rPr>
          <w:i/>
          <w:iCs/>
        </w:rPr>
        <w:t>Economist</w:t>
      </w:r>
      <w:r w:rsidRPr="00054F27">
        <w:t xml:space="preserve"> article, “IT’s Arab spring”, Oct. 8, 2011, here: </w:t>
      </w:r>
      <w:hyperlink r:id="rId4" w:history="1">
        <w:r w:rsidRPr="00505821">
          <w:rPr>
            <w:rStyle w:val="Hyperlink"/>
          </w:rPr>
          <w:t>http://www.economist.com/node/21531112</w:t>
        </w:r>
      </w:hyperlink>
      <w:r>
        <w:t xml:space="preserve"> </w:t>
      </w:r>
    </w:p>
  </w:footnote>
  <w:footnote w:id="8">
    <w:p w:rsidR="00B25D17" w:rsidRDefault="00B25D17">
      <w:pPr>
        <w:pStyle w:val="FootnoteText"/>
      </w:pPr>
      <w:r>
        <w:rPr>
          <w:rStyle w:val="FootnoteReference"/>
        </w:rPr>
        <w:footnoteRef/>
      </w:r>
      <w:r>
        <w:t xml:space="preserve"> The data from a March 2013 tally, resulted in the following on “push-mail” user growth from 2007 to 2013:</w:t>
      </w:r>
    </w:p>
    <w:p w:rsidR="00B25D17" w:rsidRDefault="00B25D17" w:rsidP="00A17FD7">
      <w:pPr>
        <w:pStyle w:val="FootnoteText"/>
        <w:tabs>
          <w:tab w:val="left" w:pos="1440"/>
          <w:tab w:val="left" w:pos="2160"/>
          <w:tab w:val="left" w:pos="2880"/>
          <w:tab w:val="left" w:pos="3600"/>
        </w:tabs>
        <w:ind w:left="720"/>
      </w:pPr>
      <w:r>
        <w:t>Zero in 2008 (when we launched 2007 Exchange server)</w:t>
      </w:r>
    </w:p>
    <w:p w:rsidR="00B25D17" w:rsidRDefault="00B25D17" w:rsidP="00A17FD7">
      <w:pPr>
        <w:pStyle w:val="FootnoteText"/>
        <w:tabs>
          <w:tab w:val="left" w:pos="1440"/>
          <w:tab w:val="left" w:pos="2160"/>
          <w:tab w:val="left" w:pos="2880"/>
          <w:tab w:val="left" w:pos="3600"/>
        </w:tabs>
        <w:ind w:left="720"/>
      </w:pPr>
      <w:r>
        <w:t xml:space="preserve">Pushmail </w:t>
      </w:r>
      <w:r>
        <w:tab/>
        <w:t xml:space="preserve">204 </w:t>
      </w:r>
      <w:r>
        <w:tab/>
        <w:t>44%</w:t>
      </w:r>
    </w:p>
    <w:p w:rsidR="00B25D17" w:rsidRDefault="00B25D17" w:rsidP="00A17FD7">
      <w:pPr>
        <w:pStyle w:val="FootnoteText"/>
        <w:tabs>
          <w:tab w:val="left" w:pos="1440"/>
          <w:tab w:val="left" w:pos="2160"/>
          <w:tab w:val="left" w:pos="2880"/>
          <w:tab w:val="left" w:pos="3600"/>
        </w:tabs>
        <w:ind w:left="720"/>
      </w:pPr>
      <w:r>
        <w:t xml:space="preserve">BB  </w:t>
      </w:r>
      <w:r>
        <w:tab/>
      </w:r>
      <w:r>
        <w:tab/>
      </w:r>
      <w:r w:rsidRPr="00A17FD7">
        <w:rPr>
          <w:u w:val="single"/>
        </w:rPr>
        <w:t>261</w:t>
      </w:r>
      <w:r>
        <w:tab/>
        <w:t>56%</w:t>
      </w:r>
    </w:p>
    <w:p w:rsidR="00B25D17" w:rsidRDefault="00B25D17" w:rsidP="00DE50FD">
      <w:pPr>
        <w:pStyle w:val="FootnoteText"/>
        <w:tabs>
          <w:tab w:val="left" w:pos="1440"/>
          <w:tab w:val="left" w:pos="2160"/>
          <w:tab w:val="left" w:pos="2880"/>
          <w:tab w:val="left" w:pos="3600"/>
        </w:tabs>
        <w:ind w:left="720"/>
      </w:pPr>
      <w:r>
        <w:t xml:space="preserve">Total </w:t>
      </w:r>
      <w:r>
        <w:tab/>
      </w:r>
      <w:r>
        <w:tab/>
        <w:t>465</w:t>
      </w:r>
    </w:p>
  </w:footnote>
  <w:footnote w:id="9">
    <w:p w:rsidR="00B25D17" w:rsidRDefault="00B25D17" w:rsidP="0069235B">
      <w:pPr>
        <w:pStyle w:val="FootnoteText"/>
      </w:pPr>
      <w:r>
        <w:rPr>
          <w:rStyle w:val="FootnoteReference"/>
        </w:rPr>
        <w:footnoteRef/>
      </w:r>
      <w:r>
        <w:t xml:space="preserve"> For example, the ICT Capacity Survey found over 50 volunteer management applications across 75 National Societies who completed the more detailed applications inventory.  Most all were customized applications.  Assuming an average cost of 50K CHF per application, that’s a </w:t>
      </w:r>
      <w:r w:rsidRPr="00DE50FD">
        <w:t xml:space="preserve">2.5M </w:t>
      </w:r>
      <w:r>
        <w:t>CHF missed opportunity.</w:t>
      </w:r>
    </w:p>
  </w:footnote>
  <w:footnote w:id="10">
    <w:p w:rsidR="00B25D17" w:rsidRDefault="00B25D17" w:rsidP="002B0141">
      <w:pPr>
        <w:pStyle w:val="FootnoteText"/>
      </w:pPr>
      <w:r>
        <w:rPr>
          <w:rStyle w:val="FootnoteReference"/>
        </w:rPr>
        <w:footnoteRef/>
      </w:r>
      <w:r>
        <w:t xml:space="preserve"> At Save the Children, an HR application developed by an enterprising staff worker in Pakistan was shared with the Nepal and Philippines office, which became dependent on it without the knowledge of the HQ IT department.  When the developer left the organization, there was no one who knew the application and could support it.  And the IT department was surprised it existed when the regional manager asked for help.  This</w:t>
      </w:r>
      <w:r w:rsidR="003739E6">
        <w:t xml:space="preserve"> is a classic case of S</w:t>
      </w:r>
      <w:r>
        <w:t xml:space="preserve">hadow IT and </w:t>
      </w:r>
      <w:r w:rsidR="00853B2A">
        <w:t>its</w:t>
      </w:r>
      <w:r>
        <w:t xml:space="preserve"> downside.</w:t>
      </w:r>
    </w:p>
  </w:footnote>
  <w:footnote w:id="11">
    <w:p w:rsidR="00B25D17" w:rsidRDefault="00B25D17">
      <w:pPr>
        <w:pStyle w:val="FootnoteText"/>
      </w:pPr>
      <w:r>
        <w:rPr>
          <w:rStyle w:val="FootnoteReference"/>
        </w:rPr>
        <w:footnoteRef/>
      </w:r>
      <w:r>
        <w:t xml:space="preserve"> “</w:t>
      </w:r>
      <w:r w:rsidRPr="00DE50FD">
        <w:t>RMS Evaluation and Shadow IT</w:t>
      </w:r>
      <w:r>
        <w:t xml:space="preserve">” 29 June 2012 presentation to the ITSG.  </w:t>
      </w:r>
    </w:p>
  </w:footnote>
  <w:footnote w:id="12">
    <w:p w:rsidR="00B25D17" w:rsidRDefault="00B25D17">
      <w:pPr>
        <w:pStyle w:val="FootnoteText"/>
      </w:pPr>
      <w:r>
        <w:rPr>
          <w:rStyle w:val="FootnoteReference"/>
        </w:rPr>
        <w:footnoteRef/>
      </w:r>
      <w:r>
        <w:t xml:space="preserve"> See the ITSG meeting minutes excerpts in Appendix 4</w:t>
      </w:r>
    </w:p>
  </w:footnote>
  <w:footnote w:id="13">
    <w:p w:rsidR="00AD56B3" w:rsidRDefault="00AD56B3">
      <w:pPr>
        <w:pStyle w:val="FootnoteText"/>
      </w:pPr>
      <w:r>
        <w:rPr>
          <w:rStyle w:val="FootnoteReference"/>
        </w:rPr>
        <w:footnoteRef/>
      </w:r>
      <w:r>
        <w:t xml:space="preserve"> “Discover and Harvest”,  </w:t>
      </w:r>
      <w:hyperlink r:id="rId5" w:history="1">
        <w:r>
          <w:rPr>
            <w:rStyle w:val="Hyperlink"/>
          </w:rPr>
          <w:t>http://eghapp.blogspot.ch/2010/05/discover-and-harvest.html</w:t>
        </w:r>
      </w:hyperlink>
    </w:p>
  </w:footnote>
  <w:footnote w:id="14">
    <w:p w:rsidR="00757E50" w:rsidRDefault="00757E50" w:rsidP="00757E50">
      <w:pPr>
        <w:pStyle w:val="FootnoteText"/>
      </w:pPr>
      <w:r>
        <w:rPr>
          <w:rStyle w:val="FootnoteReference"/>
        </w:rPr>
        <w:footnoteRef/>
      </w:r>
      <w:r>
        <w:t xml:space="preserve"> A budget estimate is provided in Appendix 5 </w:t>
      </w:r>
    </w:p>
  </w:footnote>
  <w:footnote w:id="15">
    <w:p w:rsidR="007D4E41" w:rsidRDefault="007D4E41" w:rsidP="004925D8">
      <w:pPr>
        <w:pStyle w:val="FootnoteText"/>
      </w:pPr>
      <w:r>
        <w:rPr>
          <w:rStyle w:val="FootnoteReference"/>
        </w:rPr>
        <w:footnoteRef/>
      </w:r>
      <w:r>
        <w:t xml:space="preserve"> This is the approach Cisco, for instance, takes.</w:t>
      </w:r>
      <w:r w:rsidR="004925D8">
        <w:t xml:space="preserve">  See the 2009 </w:t>
      </w:r>
      <w:hyperlink r:id="rId6" w:history="1">
        <w:r w:rsidR="004925D8" w:rsidRPr="004925D8">
          <w:rPr>
            <w:rStyle w:val="Hyperlink"/>
          </w:rPr>
          <w:t>McKinsey interview with John Chambers</w:t>
        </w:r>
      </w:hyperlink>
      <w:r w:rsidR="004925D8">
        <w:t>, where he notes “…</w:t>
      </w:r>
      <w:r w:rsidR="004925D8" w:rsidRPr="004925D8">
        <w:t>as tough as this is, this is when you have a chance to make change. And, while I always wish we had avoided it, how you handle what we call market transitions—and part of that is economic challenges—determines where you are in the future. And unfortunately, the more disruptive they are, actually, the more opportunity they offer.</w:t>
      </w:r>
      <w:r w:rsidR="004925D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616"/>
    <w:multiLevelType w:val="hybridMultilevel"/>
    <w:tmpl w:val="67665184"/>
    <w:lvl w:ilvl="0" w:tplc="501CA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C4CED"/>
    <w:multiLevelType w:val="hybridMultilevel"/>
    <w:tmpl w:val="B21C5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9172E"/>
    <w:multiLevelType w:val="hybridMultilevel"/>
    <w:tmpl w:val="3C18C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C6177"/>
    <w:multiLevelType w:val="hybridMultilevel"/>
    <w:tmpl w:val="492ED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D3561"/>
    <w:multiLevelType w:val="multilevel"/>
    <w:tmpl w:val="2FE6EDC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542568"/>
    <w:multiLevelType w:val="hybridMultilevel"/>
    <w:tmpl w:val="C29092A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A09C4"/>
    <w:multiLevelType w:val="hybridMultilevel"/>
    <w:tmpl w:val="8690C3F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47C96"/>
    <w:multiLevelType w:val="hybridMultilevel"/>
    <w:tmpl w:val="BB589CD8"/>
    <w:lvl w:ilvl="0" w:tplc="89B2E1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542AB1"/>
    <w:multiLevelType w:val="hybridMultilevel"/>
    <w:tmpl w:val="77324F4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nsid w:val="434C7ED0"/>
    <w:multiLevelType w:val="hybridMultilevel"/>
    <w:tmpl w:val="DDA0F806"/>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6B37775F"/>
    <w:multiLevelType w:val="hybridMultilevel"/>
    <w:tmpl w:val="82683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A0F68E8"/>
    <w:multiLevelType w:val="hybridMultilevel"/>
    <w:tmpl w:val="4CEC7BB6"/>
    <w:lvl w:ilvl="0" w:tplc="046273A6">
      <w:start w:val="1"/>
      <w:numFmt w:val="bullet"/>
      <w:lvlText w:val="-"/>
      <w:lvlJc w:val="left"/>
      <w:pPr>
        <w:ind w:left="927" w:hanging="360"/>
      </w:pPr>
      <w:rPr>
        <w:rFonts w:ascii="Calibri" w:eastAsia="Times New Roman" w:hAnsi="Calibri" w:cs="Times New Roman" w:hint="default"/>
      </w:rPr>
    </w:lvl>
    <w:lvl w:ilvl="1" w:tplc="08090011">
      <w:start w:val="1"/>
      <w:numFmt w:val="decimal"/>
      <w:lvlText w:val="%2)"/>
      <w:lvlJc w:val="left"/>
      <w:pPr>
        <w:ind w:left="1647" w:hanging="360"/>
      </w:pPr>
      <w:rPr>
        <w:rFonts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8"/>
  </w:num>
  <w:num w:numId="7">
    <w:abstractNumId w:val="4"/>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DF"/>
    <w:rsid w:val="00054F27"/>
    <w:rsid w:val="00063355"/>
    <w:rsid w:val="00096A47"/>
    <w:rsid w:val="001066DF"/>
    <w:rsid w:val="00113230"/>
    <w:rsid w:val="00143FAC"/>
    <w:rsid w:val="00164338"/>
    <w:rsid w:val="0018542C"/>
    <w:rsid w:val="001E32A3"/>
    <w:rsid w:val="002B0141"/>
    <w:rsid w:val="002D4224"/>
    <w:rsid w:val="002F3289"/>
    <w:rsid w:val="00343958"/>
    <w:rsid w:val="00345E52"/>
    <w:rsid w:val="003739E6"/>
    <w:rsid w:val="003C31FF"/>
    <w:rsid w:val="00432018"/>
    <w:rsid w:val="004925D8"/>
    <w:rsid w:val="004F7E0B"/>
    <w:rsid w:val="005141E1"/>
    <w:rsid w:val="005933F0"/>
    <w:rsid w:val="005A1F72"/>
    <w:rsid w:val="005A56F7"/>
    <w:rsid w:val="005B1A45"/>
    <w:rsid w:val="005F61BD"/>
    <w:rsid w:val="0069235B"/>
    <w:rsid w:val="006B1340"/>
    <w:rsid w:val="006B1C1C"/>
    <w:rsid w:val="00757E50"/>
    <w:rsid w:val="007831B7"/>
    <w:rsid w:val="007D4E41"/>
    <w:rsid w:val="007E1F19"/>
    <w:rsid w:val="00832FC4"/>
    <w:rsid w:val="008476EE"/>
    <w:rsid w:val="00853B2A"/>
    <w:rsid w:val="00871881"/>
    <w:rsid w:val="008A54EE"/>
    <w:rsid w:val="008C0232"/>
    <w:rsid w:val="00906C27"/>
    <w:rsid w:val="00922755"/>
    <w:rsid w:val="009A567E"/>
    <w:rsid w:val="009A670C"/>
    <w:rsid w:val="00A17FD7"/>
    <w:rsid w:val="00A94195"/>
    <w:rsid w:val="00AB0AC6"/>
    <w:rsid w:val="00AD56B3"/>
    <w:rsid w:val="00B2220D"/>
    <w:rsid w:val="00B25D17"/>
    <w:rsid w:val="00BC5B11"/>
    <w:rsid w:val="00BE2553"/>
    <w:rsid w:val="00BE4140"/>
    <w:rsid w:val="00C5613E"/>
    <w:rsid w:val="00CA0AF2"/>
    <w:rsid w:val="00DB49FE"/>
    <w:rsid w:val="00DE50FD"/>
    <w:rsid w:val="00E31F50"/>
    <w:rsid w:val="00E678DD"/>
    <w:rsid w:val="00EE1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DF"/>
    <w:pPr>
      <w:spacing w:after="0" w:line="240" w:lineRule="auto"/>
    </w:pPr>
  </w:style>
  <w:style w:type="paragraph" w:styleId="Heading1">
    <w:name w:val="heading 1"/>
    <w:basedOn w:val="Normal"/>
    <w:next w:val="Normal"/>
    <w:link w:val="Heading1Char"/>
    <w:uiPriority w:val="9"/>
    <w:qFormat/>
    <w:rsid w:val="006B1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66DF"/>
    <w:rPr>
      <w:rFonts w:ascii="Calibri" w:hAnsi="Calibri"/>
      <w:szCs w:val="21"/>
    </w:rPr>
  </w:style>
  <w:style w:type="character" w:customStyle="1" w:styleId="PlainTextChar">
    <w:name w:val="Plain Text Char"/>
    <w:basedOn w:val="DefaultParagraphFont"/>
    <w:link w:val="PlainText"/>
    <w:uiPriority w:val="99"/>
    <w:rsid w:val="001066DF"/>
    <w:rPr>
      <w:rFonts w:ascii="Calibri" w:hAnsi="Calibri"/>
      <w:szCs w:val="21"/>
    </w:rPr>
  </w:style>
  <w:style w:type="paragraph" w:styleId="FootnoteText">
    <w:name w:val="footnote text"/>
    <w:basedOn w:val="Normal"/>
    <w:link w:val="FootnoteTextChar"/>
    <w:uiPriority w:val="99"/>
    <w:semiHidden/>
    <w:unhideWhenUsed/>
    <w:rsid w:val="006B1340"/>
    <w:rPr>
      <w:sz w:val="20"/>
      <w:szCs w:val="20"/>
    </w:rPr>
  </w:style>
  <w:style w:type="character" w:customStyle="1" w:styleId="FootnoteTextChar">
    <w:name w:val="Footnote Text Char"/>
    <w:basedOn w:val="DefaultParagraphFont"/>
    <w:link w:val="FootnoteText"/>
    <w:uiPriority w:val="99"/>
    <w:semiHidden/>
    <w:rsid w:val="006B1340"/>
    <w:rPr>
      <w:sz w:val="20"/>
      <w:szCs w:val="20"/>
    </w:rPr>
  </w:style>
  <w:style w:type="character" w:styleId="FootnoteReference">
    <w:name w:val="footnote reference"/>
    <w:basedOn w:val="DefaultParagraphFont"/>
    <w:uiPriority w:val="99"/>
    <w:semiHidden/>
    <w:unhideWhenUsed/>
    <w:rsid w:val="006B1340"/>
    <w:rPr>
      <w:vertAlign w:val="superscript"/>
    </w:rPr>
  </w:style>
  <w:style w:type="character" w:customStyle="1" w:styleId="Heading1Char">
    <w:name w:val="Heading 1 Char"/>
    <w:basedOn w:val="DefaultParagraphFont"/>
    <w:link w:val="Heading1"/>
    <w:uiPriority w:val="9"/>
    <w:rsid w:val="006B13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3C31FF"/>
    <w:rPr>
      <w:color w:val="0000FF" w:themeColor="hyperlink"/>
      <w:u w:val="single"/>
    </w:rPr>
  </w:style>
  <w:style w:type="paragraph" w:styleId="BalloonText">
    <w:name w:val="Balloon Text"/>
    <w:basedOn w:val="Normal"/>
    <w:link w:val="BalloonTextChar"/>
    <w:uiPriority w:val="99"/>
    <w:semiHidden/>
    <w:unhideWhenUsed/>
    <w:rsid w:val="00BE2553"/>
    <w:rPr>
      <w:rFonts w:ascii="Tahoma" w:hAnsi="Tahoma" w:cs="Tahoma"/>
      <w:sz w:val="16"/>
      <w:szCs w:val="16"/>
    </w:rPr>
  </w:style>
  <w:style w:type="character" w:customStyle="1" w:styleId="BalloonTextChar">
    <w:name w:val="Balloon Text Char"/>
    <w:basedOn w:val="DefaultParagraphFont"/>
    <w:link w:val="BalloonText"/>
    <w:uiPriority w:val="99"/>
    <w:semiHidden/>
    <w:rsid w:val="00BE2553"/>
    <w:rPr>
      <w:rFonts w:ascii="Tahoma" w:hAnsi="Tahoma" w:cs="Tahoma"/>
      <w:sz w:val="16"/>
      <w:szCs w:val="16"/>
    </w:rPr>
  </w:style>
  <w:style w:type="paragraph" w:styleId="ListParagraph">
    <w:name w:val="List Paragraph"/>
    <w:basedOn w:val="Normal"/>
    <w:uiPriority w:val="34"/>
    <w:qFormat/>
    <w:rsid w:val="009A567E"/>
    <w:pPr>
      <w:ind w:left="720"/>
      <w:contextualSpacing/>
    </w:pPr>
  </w:style>
  <w:style w:type="paragraph" w:styleId="Header">
    <w:name w:val="header"/>
    <w:basedOn w:val="Normal"/>
    <w:link w:val="HeaderChar"/>
    <w:uiPriority w:val="99"/>
    <w:unhideWhenUsed/>
    <w:rsid w:val="009A567E"/>
    <w:pPr>
      <w:tabs>
        <w:tab w:val="center" w:pos="4680"/>
        <w:tab w:val="right" w:pos="9360"/>
      </w:tabs>
    </w:pPr>
  </w:style>
  <w:style w:type="character" w:customStyle="1" w:styleId="HeaderChar">
    <w:name w:val="Header Char"/>
    <w:basedOn w:val="DefaultParagraphFont"/>
    <w:link w:val="Header"/>
    <w:uiPriority w:val="99"/>
    <w:rsid w:val="009A567E"/>
  </w:style>
  <w:style w:type="paragraph" w:styleId="Footer">
    <w:name w:val="footer"/>
    <w:basedOn w:val="Normal"/>
    <w:link w:val="FooterChar"/>
    <w:uiPriority w:val="99"/>
    <w:unhideWhenUsed/>
    <w:rsid w:val="009A567E"/>
    <w:pPr>
      <w:tabs>
        <w:tab w:val="center" w:pos="4680"/>
        <w:tab w:val="right" w:pos="9360"/>
      </w:tabs>
    </w:pPr>
  </w:style>
  <w:style w:type="character" w:customStyle="1" w:styleId="FooterChar">
    <w:name w:val="Footer Char"/>
    <w:basedOn w:val="DefaultParagraphFont"/>
    <w:link w:val="Footer"/>
    <w:uiPriority w:val="99"/>
    <w:rsid w:val="009A567E"/>
  </w:style>
  <w:style w:type="character" w:styleId="CommentReference">
    <w:name w:val="annotation reference"/>
    <w:basedOn w:val="DefaultParagraphFont"/>
    <w:uiPriority w:val="99"/>
    <w:semiHidden/>
    <w:unhideWhenUsed/>
    <w:rsid w:val="00A94195"/>
    <w:rPr>
      <w:sz w:val="16"/>
      <w:szCs w:val="16"/>
    </w:rPr>
  </w:style>
  <w:style w:type="paragraph" w:styleId="CommentText">
    <w:name w:val="annotation text"/>
    <w:basedOn w:val="Normal"/>
    <w:link w:val="CommentTextChar"/>
    <w:uiPriority w:val="99"/>
    <w:semiHidden/>
    <w:unhideWhenUsed/>
    <w:rsid w:val="00A94195"/>
    <w:pPr>
      <w:outlineLvl w:val="0"/>
    </w:pPr>
    <w:rPr>
      <w:rFonts w:ascii="Times New Roman" w:eastAsia="Arial Unicode MS"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A94195"/>
    <w:rPr>
      <w:rFonts w:ascii="Times New Roman" w:eastAsia="Arial Unicode MS" w:hAnsi="Times New Roman" w:cs="Times New Roman"/>
      <w:color w:val="000000"/>
      <w:sz w:val="20"/>
      <w:szCs w:val="20"/>
    </w:rPr>
  </w:style>
  <w:style w:type="table" w:styleId="TableGrid">
    <w:name w:val="Table Grid"/>
    <w:basedOn w:val="TableNormal"/>
    <w:rsid w:val="002D422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DF"/>
    <w:pPr>
      <w:spacing w:after="0" w:line="240" w:lineRule="auto"/>
    </w:pPr>
  </w:style>
  <w:style w:type="paragraph" w:styleId="Heading1">
    <w:name w:val="heading 1"/>
    <w:basedOn w:val="Normal"/>
    <w:next w:val="Normal"/>
    <w:link w:val="Heading1Char"/>
    <w:uiPriority w:val="9"/>
    <w:qFormat/>
    <w:rsid w:val="006B1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66DF"/>
    <w:rPr>
      <w:rFonts w:ascii="Calibri" w:hAnsi="Calibri"/>
      <w:szCs w:val="21"/>
    </w:rPr>
  </w:style>
  <w:style w:type="character" w:customStyle="1" w:styleId="PlainTextChar">
    <w:name w:val="Plain Text Char"/>
    <w:basedOn w:val="DefaultParagraphFont"/>
    <w:link w:val="PlainText"/>
    <w:uiPriority w:val="99"/>
    <w:rsid w:val="001066DF"/>
    <w:rPr>
      <w:rFonts w:ascii="Calibri" w:hAnsi="Calibri"/>
      <w:szCs w:val="21"/>
    </w:rPr>
  </w:style>
  <w:style w:type="paragraph" w:styleId="FootnoteText">
    <w:name w:val="footnote text"/>
    <w:basedOn w:val="Normal"/>
    <w:link w:val="FootnoteTextChar"/>
    <w:uiPriority w:val="99"/>
    <w:semiHidden/>
    <w:unhideWhenUsed/>
    <w:rsid w:val="006B1340"/>
    <w:rPr>
      <w:sz w:val="20"/>
      <w:szCs w:val="20"/>
    </w:rPr>
  </w:style>
  <w:style w:type="character" w:customStyle="1" w:styleId="FootnoteTextChar">
    <w:name w:val="Footnote Text Char"/>
    <w:basedOn w:val="DefaultParagraphFont"/>
    <w:link w:val="FootnoteText"/>
    <w:uiPriority w:val="99"/>
    <w:semiHidden/>
    <w:rsid w:val="006B1340"/>
    <w:rPr>
      <w:sz w:val="20"/>
      <w:szCs w:val="20"/>
    </w:rPr>
  </w:style>
  <w:style w:type="character" w:styleId="FootnoteReference">
    <w:name w:val="footnote reference"/>
    <w:basedOn w:val="DefaultParagraphFont"/>
    <w:uiPriority w:val="99"/>
    <w:semiHidden/>
    <w:unhideWhenUsed/>
    <w:rsid w:val="006B1340"/>
    <w:rPr>
      <w:vertAlign w:val="superscript"/>
    </w:rPr>
  </w:style>
  <w:style w:type="character" w:customStyle="1" w:styleId="Heading1Char">
    <w:name w:val="Heading 1 Char"/>
    <w:basedOn w:val="DefaultParagraphFont"/>
    <w:link w:val="Heading1"/>
    <w:uiPriority w:val="9"/>
    <w:rsid w:val="006B13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3C31FF"/>
    <w:rPr>
      <w:color w:val="0000FF" w:themeColor="hyperlink"/>
      <w:u w:val="single"/>
    </w:rPr>
  </w:style>
  <w:style w:type="paragraph" w:styleId="BalloonText">
    <w:name w:val="Balloon Text"/>
    <w:basedOn w:val="Normal"/>
    <w:link w:val="BalloonTextChar"/>
    <w:uiPriority w:val="99"/>
    <w:semiHidden/>
    <w:unhideWhenUsed/>
    <w:rsid w:val="00BE2553"/>
    <w:rPr>
      <w:rFonts w:ascii="Tahoma" w:hAnsi="Tahoma" w:cs="Tahoma"/>
      <w:sz w:val="16"/>
      <w:szCs w:val="16"/>
    </w:rPr>
  </w:style>
  <w:style w:type="character" w:customStyle="1" w:styleId="BalloonTextChar">
    <w:name w:val="Balloon Text Char"/>
    <w:basedOn w:val="DefaultParagraphFont"/>
    <w:link w:val="BalloonText"/>
    <w:uiPriority w:val="99"/>
    <w:semiHidden/>
    <w:rsid w:val="00BE2553"/>
    <w:rPr>
      <w:rFonts w:ascii="Tahoma" w:hAnsi="Tahoma" w:cs="Tahoma"/>
      <w:sz w:val="16"/>
      <w:szCs w:val="16"/>
    </w:rPr>
  </w:style>
  <w:style w:type="paragraph" w:styleId="ListParagraph">
    <w:name w:val="List Paragraph"/>
    <w:basedOn w:val="Normal"/>
    <w:uiPriority w:val="34"/>
    <w:qFormat/>
    <w:rsid w:val="009A567E"/>
    <w:pPr>
      <w:ind w:left="720"/>
      <w:contextualSpacing/>
    </w:pPr>
  </w:style>
  <w:style w:type="paragraph" w:styleId="Header">
    <w:name w:val="header"/>
    <w:basedOn w:val="Normal"/>
    <w:link w:val="HeaderChar"/>
    <w:uiPriority w:val="99"/>
    <w:unhideWhenUsed/>
    <w:rsid w:val="009A567E"/>
    <w:pPr>
      <w:tabs>
        <w:tab w:val="center" w:pos="4680"/>
        <w:tab w:val="right" w:pos="9360"/>
      </w:tabs>
    </w:pPr>
  </w:style>
  <w:style w:type="character" w:customStyle="1" w:styleId="HeaderChar">
    <w:name w:val="Header Char"/>
    <w:basedOn w:val="DefaultParagraphFont"/>
    <w:link w:val="Header"/>
    <w:uiPriority w:val="99"/>
    <w:rsid w:val="009A567E"/>
  </w:style>
  <w:style w:type="paragraph" w:styleId="Footer">
    <w:name w:val="footer"/>
    <w:basedOn w:val="Normal"/>
    <w:link w:val="FooterChar"/>
    <w:uiPriority w:val="99"/>
    <w:unhideWhenUsed/>
    <w:rsid w:val="009A567E"/>
    <w:pPr>
      <w:tabs>
        <w:tab w:val="center" w:pos="4680"/>
        <w:tab w:val="right" w:pos="9360"/>
      </w:tabs>
    </w:pPr>
  </w:style>
  <w:style w:type="character" w:customStyle="1" w:styleId="FooterChar">
    <w:name w:val="Footer Char"/>
    <w:basedOn w:val="DefaultParagraphFont"/>
    <w:link w:val="Footer"/>
    <w:uiPriority w:val="99"/>
    <w:rsid w:val="009A567E"/>
  </w:style>
  <w:style w:type="character" w:styleId="CommentReference">
    <w:name w:val="annotation reference"/>
    <w:basedOn w:val="DefaultParagraphFont"/>
    <w:uiPriority w:val="99"/>
    <w:semiHidden/>
    <w:unhideWhenUsed/>
    <w:rsid w:val="00A94195"/>
    <w:rPr>
      <w:sz w:val="16"/>
      <w:szCs w:val="16"/>
    </w:rPr>
  </w:style>
  <w:style w:type="paragraph" w:styleId="CommentText">
    <w:name w:val="annotation text"/>
    <w:basedOn w:val="Normal"/>
    <w:link w:val="CommentTextChar"/>
    <w:uiPriority w:val="99"/>
    <w:semiHidden/>
    <w:unhideWhenUsed/>
    <w:rsid w:val="00A94195"/>
    <w:pPr>
      <w:outlineLvl w:val="0"/>
    </w:pPr>
    <w:rPr>
      <w:rFonts w:ascii="Times New Roman" w:eastAsia="Arial Unicode MS"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A94195"/>
    <w:rPr>
      <w:rFonts w:ascii="Times New Roman" w:eastAsia="Arial Unicode MS" w:hAnsi="Times New Roman" w:cs="Times New Roman"/>
      <w:color w:val="000000"/>
      <w:sz w:val="20"/>
      <w:szCs w:val="20"/>
    </w:rPr>
  </w:style>
  <w:style w:type="table" w:styleId="TableGrid">
    <w:name w:val="Table Grid"/>
    <w:basedOn w:val="TableNormal"/>
    <w:rsid w:val="002D422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0324">
      <w:bodyDiv w:val="1"/>
      <w:marLeft w:val="0"/>
      <w:marRight w:val="0"/>
      <w:marTop w:val="0"/>
      <w:marBottom w:val="0"/>
      <w:divBdr>
        <w:top w:val="none" w:sz="0" w:space="0" w:color="auto"/>
        <w:left w:val="none" w:sz="0" w:space="0" w:color="auto"/>
        <w:bottom w:val="none" w:sz="0" w:space="0" w:color="auto"/>
        <w:right w:val="none" w:sz="0" w:space="0" w:color="auto"/>
      </w:divBdr>
    </w:div>
    <w:div w:id="599458591">
      <w:bodyDiv w:val="1"/>
      <w:marLeft w:val="0"/>
      <w:marRight w:val="0"/>
      <w:marTop w:val="0"/>
      <w:marBottom w:val="0"/>
      <w:divBdr>
        <w:top w:val="none" w:sz="0" w:space="0" w:color="auto"/>
        <w:left w:val="none" w:sz="0" w:space="0" w:color="auto"/>
        <w:bottom w:val="none" w:sz="0" w:space="0" w:color="auto"/>
        <w:right w:val="none" w:sz="0" w:space="0" w:color="auto"/>
      </w:divBdr>
    </w:div>
    <w:div w:id="775901861">
      <w:bodyDiv w:val="1"/>
      <w:marLeft w:val="0"/>
      <w:marRight w:val="0"/>
      <w:marTop w:val="0"/>
      <w:marBottom w:val="0"/>
      <w:divBdr>
        <w:top w:val="none" w:sz="0" w:space="0" w:color="auto"/>
        <w:left w:val="none" w:sz="0" w:space="0" w:color="auto"/>
        <w:bottom w:val="none" w:sz="0" w:space="0" w:color="auto"/>
        <w:right w:val="none" w:sz="0" w:space="0" w:color="auto"/>
      </w:divBdr>
      <w:divsChild>
        <w:div w:id="1782725214">
          <w:marLeft w:val="432"/>
          <w:marRight w:val="0"/>
          <w:marTop w:val="106"/>
          <w:marBottom w:val="0"/>
          <w:divBdr>
            <w:top w:val="none" w:sz="0" w:space="0" w:color="auto"/>
            <w:left w:val="none" w:sz="0" w:space="0" w:color="auto"/>
            <w:bottom w:val="none" w:sz="0" w:space="0" w:color="auto"/>
            <w:right w:val="none" w:sz="0" w:space="0" w:color="auto"/>
          </w:divBdr>
        </w:div>
        <w:div w:id="1801147839">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T:\ISD\IS%20Services\0.User%20Support\Service%20Desk\Support%20Manuals%20(under%20preparation)\IT%20System%20Exception%20Checklist.docx" TargetMode="External"/><Relationship Id="rId18" Type="http://schemas.openxmlformats.org/officeDocument/2006/relationships/hyperlink" Target="https://fednet.ifrc.org/en/our-federation/about-the-federation/ppp/electronic-information-security-policy/" TargetMode="External"/><Relationship Id="rId3" Type="http://schemas.openxmlformats.org/officeDocument/2006/relationships/styles" Target="styles.xml"/><Relationship Id="rId21" Type="http://schemas.openxmlformats.org/officeDocument/2006/relationships/hyperlink" Target="https://fedteam.ifrc.org/global/collaboration/support/ISD/Shared%20Documents/ISD%20Policy%20Documents/Website%20Application%20Branding%20and%20Design%20Guidelines%20v1.3.doc"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fednet.ifrc.org/en/our-federation/about-the-federation/ppp/commercial-software-selection-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ednet.ifrc.org/dd" TargetMode="External"/><Relationship Id="rId20" Type="http://schemas.openxmlformats.org/officeDocument/2006/relationships/hyperlink" Target="https://fedteam.ifrc.org/global/collaboration/support/ISD/Shared%20Documents/ISD%20Policy%20Documents/Web%20User%20Interface%20Policy.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edteam.ifrc.org/global/collaboration/ns_dev/dd/Lists/Applications%20Inventory/Grouped%20by%20Functional%20Area.aspx"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s://fedteam.ifrc.org/global/collaboration/support/ISD/Shared%20Documents/ISD%20Policy%20Documents/IFRC%27s%20Non-functional%20requirements.doc" TargetMode="External"/><Relationship Id="rId4" Type="http://schemas.microsoft.com/office/2007/relationships/stylesWithEffects" Target="stylesWithEffects.xml"/><Relationship Id="rId9" Type="http://schemas.openxmlformats.org/officeDocument/2006/relationships/hyperlink" Target="http://www.usaid.gov/news-information/press-releases/disaster-technology-us-and-uk-fund-humanitarian-innovation" TargetMode="External"/><Relationship Id="rId14" Type="http://schemas.openxmlformats.org/officeDocument/2006/relationships/hyperlink" Target="https://fedteam.ifrc.org/global/collaboration/support/ISD/ISD%20Project%20Portfolio/Forms/Active%20Projects.aspx" TargetMode="External"/><Relationship Id="rId22" Type="http://schemas.openxmlformats.org/officeDocument/2006/relationships/hyperlink" Target="https://fedteam.ifrc.org/global/collaboration/support/ISD/Shared%20Documents/ISD%20Policy%20Documents/ISD%20Systems%20Architecture%20-%20Current%20Standards.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Shadow_IT" TargetMode="External"/><Relationship Id="rId2" Type="http://schemas.openxmlformats.org/officeDocument/2006/relationships/hyperlink" Target="http://searchcloudcomputing.techtarget.com/definition/shadow-IT-shadow-information-technology" TargetMode="External"/><Relationship Id="rId1" Type="http://schemas.openxmlformats.org/officeDocument/2006/relationships/hyperlink" Target="http://eghapp.blogspot.ch/2010/05/discover-and-harvest.html" TargetMode="External"/><Relationship Id="rId6" Type="http://schemas.openxmlformats.org/officeDocument/2006/relationships/hyperlink" Target="http://www.mckinsey.com/insights/high_tech_telecoms_internet/mckinsey_conversations_with_global_leaders_john_chambers_of_cisco" TargetMode="External"/><Relationship Id="rId5" Type="http://schemas.openxmlformats.org/officeDocument/2006/relationships/hyperlink" Target="http://eghapp.blogspot.ch/2010/05/discover-and-harvest.html" TargetMode="External"/><Relationship Id="rId4" Type="http://schemas.openxmlformats.org/officeDocument/2006/relationships/hyperlink" Target="http://www.economist.com/node/2153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9873-D9DB-4879-9B98-7F453A93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HAPP</dc:creator>
  <cp:lastModifiedBy>Edward HAPP</cp:lastModifiedBy>
  <cp:revision>2</cp:revision>
  <dcterms:created xsi:type="dcterms:W3CDTF">2013-11-20T11:43:00Z</dcterms:created>
  <dcterms:modified xsi:type="dcterms:W3CDTF">2013-11-20T11:43:00Z</dcterms:modified>
</cp:coreProperties>
</file>